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1"/>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1"/>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1"/>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Style21"/>
        <w:spacing w:lineRule="exact" w:line="500" w:before="100" w:after="100"/>
        <w:ind w:hangingChars="900" w:startChars="0" w:start="0" w:endChars="0" w:end="0"/>
        <w:contextualSpacing/>
        <w:rPr>
          <w:b/>
          <w:sz w:val="30"/>
          <w:szCs w:val="30"/>
        </w:rPr>
      </w:pPr>
      <w:r>
        <w:rPr>
          <w:rFonts w:hint="eastAsia"/>
          <w:b/>
          <w:sz w:val="30"/>
          <w:szCs w:val="30"/>
        </w:rPr>
        <w:t>2026</w:t>
      </w:r>
      <w:r>
        <w:rPr>
          <w:b/>
          <w:sz w:val="30"/>
          <w:szCs w:val="30"/>
        </w:rPr>
        <w:t>年中国人民大学农业与农村发展学院技术经济及管理专业在职课程培训班</w:t>
      </w:r>
    </w:p>
    <w:p>
      <w:pPr>
        <w:pStyle w:val="Style21"/>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1"/>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color w:val="C00000"/>
          <w:sz w:val="21"/>
          <w:szCs w:val="21"/>
        </w:rPr>
        <w:t>管理</w:t>
      </w:r>
      <w:r>
        <w:rPr>
          <w:color w:val="C00000"/>
          <w:sz w:val="21"/>
          <w:szCs w:val="21"/>
        </w:rPr>
        <w:t>]</w:t>
      </w:r>
      <w:r>
        <w:rPr>
          <w:sz w:val="21"/>
          <w:szCs w:val="21"/>
        </w:rPr>
        <w:t xml:space="preserve">      </w:t>
      </w:r>
      <w:r>
        <w:rPr>
          <w:sz w:val="21"/>
          <w:szCs w:val="21"/>
        </w:rPr>
        <w:t>培训费：</w:t>
      </w:r>
      <w:r>
        <w:rPr>
          <w:color w:val="C00000"/>
          <w:sz w:val="21"/>
          <w:szCs w:val="21"/>
        </w:rPr>
        <w:t>3</w:t>
      </w:r>
      <w:r>
        <w:rPr>
          <w:rFonts w:hint="eastAsia"/>
          <w:color w:val="C00000"/>
          <w:sz w:val="21"/>
          <w:szCs w:val="21"/>
        </w:rPr>
        <w:t>8</w:t>
      </w:r>
      <w:r>
        <w:rPr>
          <w:color w:val="C00000"/>
          <w:sz w:val="21"/>
          <w:szCs w:val="21"/>
        </w:rPr>
        <w:t>000.00</w:t>
      </w:r>
      <w:r>
        <w:rPr>
          <w:color w:val="C00000"/>
          <w:sz w:val="21"/>
          <w:szCs w:val="21"/>
        </w:rPr>
        <w:t xml:space="preserve">元 </w:t>
      </w:r>
      <w:r>
        <w:rPr>
          <w:sz w:val="21"/>
          <w:szCs w:val="21"/>
        </w:rPr>
        <w:t xml:space="preserve">    主办单位：</w:t>
      </w:r>
      <w:r>
        <w:rPr>
          <w:color w:val="C00000"/>
          <w:sz w:val="21"/>
          <w:szCs w:val="21"/>
        </w:rPr>
        <w:t>农业与农村发展学院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1"/>
        <w:spacing w:lineRule="exact" w:line="500" w:before="100" w:after="100"/>
        <w:contextualSpacing/>
        <w:rPr>
          <w:b/>
          <w:color w:val="C00000"/>
          <w:sz w:val="21"/>
          <w:szCs w:val="21"/>
        </w:rPr>
      </w:pPr>
      <w:r>
        <w:rPr>
          <w:b/>
          <w:color w:val="C00000"/>
          <w:sz w:val="21"/>
          <w:szCs w:val="21"/>
        </w:rPr>
        <w:t>一、学院及专业优势简介</w:t>
      </w:r>
    </w:p>
    <w:p>
      <w:pPr>
        <w:pStyle w:val="Style21"/>
        <w:spacing w:lineRule="exact" w:line="500" w:before="100" w:after="100"/>
        <w:ind w:firstLineChars="200" w:startChars="0" w:start="0" w:endChars="0" w:end="0"/>
        <w:contextualSpacing/>
        <w:rPr>
          <w:sz w:val="21"/>
          <w:szCs w:val="21"/>
        </w:rPr>
      </w:pPr>
      <w:r>
        <w:rPr>
          <w:sz w:val="21"/>
          <w:szCs w:val="21"/>
        </w:rPr>
        <w:t>中国人民大学技术经济及管理专业在职课程培训班由中国人民大学农业与农村发展学院培养。该学院是中国人民大学第一个设立技术经济及管理学科博士点的学院，是新中国技术经济及管理学科的开拓者、奠基者、引领者。学院拥有厚重的国情意识、顶尖的研究氛围；名师大家林立，杰出校友辈出；科研成果丰硕，社会影响广泛。在首轮“双一流”学科成效评估中，我们主责的一流学科整体进入第一档，位列全国第一。</w:t>
      </w:r>
    </w:p>
    <w:p>
      <w:pPr>
        <w:pStyle w:val="Style21"/>
        <w:spacing w:lineRule="exact" w:line="500" w:before="100" w:after="100"/>
        <w:ind w:firstLineChars="200" w:startChars="0" w:start="0" w:endChars="0" w:end="0"/>
        <w:contextualSpacing/>
        <w:rPr>
          <w:sz w:val="21"/>
          <w:szCs w:val="21"/>
        </w:rPr>
      </w:pPr>
      <w:r>
        <w:rPr>
          <w:sz w:val="21"/>
          <w:szCs w:val="21"/>
        </w:rPr>
        <w:t>本院的学生培养与中国人民大学其他学科交叉渗透、共同发展，具有明显的互补优势。中国人民大学拥有与本院密切的经济学、管理学、社会学、法学等学科，门类齐全且都具有国内一流的学科实力，加之人民大学所拥有的多个国家级重点科研基地，对本院的本科和研究生教学具有直接的助推作用。学院以中青年、特别是青年教师为主，全部拥有博士学位和出国进修及访问的经历。队伍精干，科研经费充足，科研成果处于国内领先水平。</w:t>
      </w:r>
    </w:p>
    <w:p>
      <w:pPr>
        <w:pStyle w:val="Style21"/>
        <w:spacing w:lineRule="exact" w:line="500" w:before="100" w:after="100"/>
        <w:ind w:firstLineChars="200" w:startChars="0" w:start="0" w:endChars="0" w:end="0"/>
        <w:contextualSpacing/>
        <w:rPr>
          <w:sz w:val="21"/>
          <w:szCs w:val="21"/>
        </w:rPr>
      </w:pPr>
      <w:r>
        <w:rPr>
          <w:sz w:val="21"/>
          <w:szCs w:val="21"/>
        </w:rPr>
        <w:t>2026</w:t>
      </w:r>
      <w:r>
        <w:rPr>
          <w:sz w:val="21"/>
          <w:szCs w:val="21"/>
        </w:rPr>
        <w:t>年中国人民大学农业与农村发展学院面向社会开设技术经济及管理专业在职课程培训班。</w:t>
      </w:r>
    </w:p>
    <w:p>
      <w:pPr>
        <w:pStyle w:val="Style21"/>
        <w:spacing w:lineRule="exact" w:line="500" w:before="100" w:after="100"/>
        <w:contextualSpacing/>
        <w:rPr>
          <w:b/>
          <w:color w:val="C00000"/>
          <w:sz w:val="21"/>
          <w:szCs w:val="21"/>
        </w:rPr>
      </w:pPr>
      <w:r>
        <w:rPr>
          <w:b/>
          <w:color w:val="C00000"/>
          <w:sz w:val="21"/>
          <w:szCs w:val="21"/>
        </w:rPr>
        <w:t>二、培养目标</w:t>
      </w:r>
    </w:p>
    <w:p>
      <w:pPr>
        <w:pStyle w:val="Style21"/>
        <w:spacing w:lineRule="exact" w:line="500" w:before="100" w:after="100"/>
        <w:ind w:firstLine="420" w:end="0"/>
        <w:contextualSpacing/>
        <w:rPr>
          <w:sz w:val="21"/>
          <w:szCs w:val="21"/>
        </w:rPr>
      </w:pPr>
      <w:r>
        <w:rPr>
          <w:sz w:val="21"/>
          <w:szCs w:val="21"/>
        </w:rPr>
        <w:t>1</w:t>
      </w:r>
      <w:r>
        <w:rPr>
          <w:sz w:val="21"/>
          <w:szCs w:val="21"/>
        </w:rPr>
        <w:t>、培养政府与企事业单位中高层管理人才，包括战略管理、财务管理、信息管理、技术研发、技术创新，项目管理等高素质经济管理人才</w:t>
      </w:r>
      <w:r>
        <w:rPr>
          <w:rFonts w:hint="eastAsia"/>
          <w:sz w:val="21"/>
          <w:szCs w:val="21"/>
        </w:rPr>
        <w:t>；</w:t>
      </w:r>
    </w:p>
    <w:p>
      <w:pPr>
        <w:pStyle w:val="Style21"/>
        <w:spacing w:lineRule="exact" w:line="500" w:before="100" w:after="100"/>
        <w:ind w:firstLine="420" w:end="0"/>
        <w:contextualSpacing/>
        <w:rPr>
          <w:sz w:val="21"/>
          <w:szCs w:val="21"/>
        </w:rPr>
      </w:pPr>
      <w:r>
        <w:rPr>
          <w:sz w:val="21"/>
          <w:szCs w:val="21"/>
        </w:rPr>
        <w:t>2</w:t>
      </w:r>
      <w:r>
        <w:rPr>
          <w:sz w:val="21"/>
          <w:szCs w:val="21"/>
        </w:rPr>
        <w:t>、培养具有扎实产业经济分析、可行性研究、技术创新管理、项目管理、运营管理、财务管理等专长，具有较强经济研判与项目管理能力的专业人才。</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rFonts w:hint="eastAsia"/>
          <w:b/>
          <w:color w:val="C00000"/>
          <w:sz w:val="21"/>
          <w:szCs w:val="21"/>
        </w:rPr>
      </w:pPr>
      <w:r>
        <w:rPr>
          <w:rFonts w:hint="eastAsia"/>
          <w:b/>
          <w:color w:val="C00000"/>
          <w:sz w:val="21"/>
          <w:szCs w:val="21"/>
        </w:rPr>
        <w:t>三、课程安排</w:t>
      </w:r>
    </w:p>
    <w:tbl>
      <w:tblPr>
        <w:tblW w:w="9039" w:type="dxa"/>
        <w:jc w:val="start"/>
        <w:tblInd w:w="0" w:type="dxa"/>
        <w:tblLayout w:type="fixed"/>
        <w:tblCellMar>
          <w:top w:w="0" w:type="dxa"/>
          <w:start w:w="108" w:type="dxa"/>
          <w:bottom w:w="0" w:type="dxa"/>
          <w:end w:w="108" w:type="dxa"/>
        </w:tblCellMar>
      </w:tblPr>
      <w:tblGrid>
        <w:gridCol w:w="1384"/>
        <w:gridCol w:w="2126"/>
        <w:gridCol w:w="2127"/>
        <w:gridCol w:w="3402"/>
      </w:tblGrid>
      <w:tr>
        <w:trPr>
          <w:trHeight w:val="567" w:hRule="atLeast"/>
        </w:trPr>
        <w:tc>
          <w:tcPr>
            <w:tcW w:w="9039" w:type="dxa"/>
            <w:gridSpan w:val="4"/>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 xml:space="preserve">                         </w:t>
            </w:r>
            <w:r>
              <w:rPr>
                <w:rFonts w:cs="微软雅黑"/>
                <w:color w:val="000000"/>
                <w:sz w:val="21"/>
                <w:szCs w:val="21"/>
                <w:lang w:bidi="ar"/>
              </w:rPr>
              <w:t>技术经济及管理专业课程设置</w:t>
            </w:r>
          </w:p>
        </w:tc>
      </w:tr>
      <w:tr>
        <w:trPr>
          <w:trHeight w:val="567" w:hRule="atLeast"/>
        </w:trPr>
        <w:tc>
          <w:tcPr>
            <w:tcW w:w="1384"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公共课</w:t>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自然辩证法概论</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语言基础</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中国特色社会主义理论与实践研究</w:t>
            </w:r>
          </w:p>
        </w:tc>
      </w:tr>
      <w:tr>
        <w:trPr>
          <w:trHeight w:val="567" w:hRule="atLeast"/>
        </w:trPr>
        <w:tc>
          <w:tcPr>
            <w:tcW w:w="1384"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学科基础课</w:t>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现代管理学</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管理经济学</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技术创新经济学</w:t>
            </w:r>
          </w:p>
        </w:tc>
      </w:tr>
      <w:tr>
        <w:trPr>
          <w:trHeight w:val="567" w:hRule="atLeast"/>
        </w:trPr>
        <w:tc>
          <w:tcPr>
            <w:tcW w:w="1384" w:type="dxa"/>
            <w:vMerge w:val="restart"/>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center" w:pos="689" w:leader="none"/>
              </w:tabs>
              <w:spacing w:before="225" w:after="75"/>
              <w:ind w:firstLineChars="100" w:startChars="0" w:start="0" w:endChars="0" w:end="0"/>
              <w:jc w:val="both"/>
              <w:rPr>
                <w:rFonts w:cs="微软雅黑"/>
                <w:b w:val="false"/>
                <w:color w:val="000000"/>
                <w:sz w:val="21"/>
                <w:szCs w:val="21"/>
                <w:lang w:bidi="ar"/>
              </w:rPr>
            </w:pPr>
            <w:r>
              <w:rPr>
                <w:rFonts w:cs="微软雅黑"/>
                <w:b w:val="false"/>
                <w:color w:val="000000"/>
                <w:sz w:val="21"/>
                <w:szCs w:val="21"/>
                <w:lang w:bidi="ar"/>
              </w:rPr>
              <w:t>专业课</w:t>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人力资源管理研究</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战略管理专题</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技术经济专题</w:t>
            </w:r>
          </w:p>
        </w:tc>
      </w:tr>
      <w:tr>
        <w:trPr>
          <w:trHeight w:val="567" w:hRule="atLeast"/>
        </w:trPr>
        <w:tc>
          <w:tcPr>
            <w:tcW w:w="1384" w:type="dxa"/>
            <w:vMerge w:val="continue"/>
            <w:tcBorders>
              <w:top w:val="single" w:sz="4" w:space="0" w:color="000000"/>
              <w:start w:val="single" w:sz="4" w:space="0" w:color="000000"/>
              <w:bottom w:val="single" w:sz="4" w:space="0" w:color="000000"/>
              <w:end w:val="single" w:sz="4" w:space="0" w:color="000000"/>
            </w:tcBorders>
          </w:tcPr>
          <w:p>
            <w:pPr>
              <w:pStyle w:val="Heading6"/>
              <w:widowControl/>
              <w:numPr>
                <w:ilvl w:val="0"/>
                <w:numId w:val="0"/>
              </w:numPr>
              <w:snapToGrid w:val="false"/>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供应链管理专题</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公司财务管理专题</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项目管理专题</w:t>
            </w:r>
            <w:r>
              <w:rPr>
                <w:rFonts w:cs="微软雅黑" w:hint="eastAsia"/>
                <w:b w:val="false"/>
                <w:color w:val="000000"/>
                <w:sz w:val="21"/>
                <w:szCs w:val="21"/>
                <w:lang w:bidi="ar"/>
              </w:rPr>
              <w:t>、市场营销理论</w:t>
            </w:r>
          </w:p>
        </w:tc>
      </w:tr>
      <w:tr>
        <w:trPr>
          <w:trHeight w:val="567" w:hRule="atLeast"/>
        </w:trPr>
        <w:tc>
          <w:tcPr>
            <w:tcW w:w="1384"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方法课</w:t>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经济与管理研究方法</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抽样调查与数据分析</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学术规范和论文写作</w:t>
            </w:r>
          </w:p>
        </w:tc>
      </w:tr>
      <w:tr>
        <w:trPr>
          <w:trHeight w:val="567" w:hRule="atLeast"/>
        </w:trPr>
        <w:tc>
          <w:tcPr>
            <w:tcW w:w="1384"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b w:val="false"/>
                <w:color w:val="000000"/>
                <w:sz w:val="21"/>
                <w:szCs w:val="21"/>
                <w:lang w:bidi="ar"/>
              </w:rPr>
            </w:pPr>
            <w:r>
              <w:rPr>
                <w:rFonts w:cs="微软雅黑"/>
                <w:b w:val="false"/>
                <w:color w:val="000000"/>
                <w:sz w:val="21"/>
                <w:szCs w:val="21"/>
                <w:lang w:bidi="ar"/>
              </w:rPr>
              <w:t>选修课</w:t>
            </w:r>
          </w:p>
        </w:tc>
        <w:tc>
          <w:tcPr>
            <w:tcW w:w="21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食品经济与管理专题</w:t>
            </w:r>
          </w:p>
        </w:tc>
        <w:tc>
          <w:tcPr>
            <w:tcW w:w="2127"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b w:val="false"/>
                <w:color w:val="000000"/>
                <w:sz w:val="21"/>
                <w:szCs w:val="21"/>
                <w:lang w:bidi="ar"/>
              </w:rPr>
              <w:t>涉农企业管理专题</w:t>
            </w:r>
          </w:p>
        </w:tc>
        <w:tc>
          <w:tcPr>
            <w:tcW w:w="3402"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bl>
    <w:p>
      <w:pPr>
        <w:pStyle w:val="Style21"/>
        <w:spacing w:lineRule="exact" w:line="500" w:before="100" w:after="100"/>
        <w:ind w:firstLineChars="1400" w:startChars="0" w:start="0" w:endChars="0" w:end="0"/>
        <w:contextualSpacing/>
        <w:rPr>
          <w:rFonts w:hint="eastAsia"/>
          <w:sz w:val="21"/>
          <w:szCs w:val="21"/>
        </w:rPr>
      </w:pPr>
      <w:r>
        <w:rPr>
          <w:rFonts w:hint="eastAsia"/>
          <w:sz w:val="21"/>
          <w:szCs w:val="21"/>
        </w:rPr>
        <w:t>注：课程参照实际教学</w:t>
      </w:r>
    </w:p>
    <w:p>
      <w:pPr>
        <w:pStyle w:val="Style21"/>
        <w:spacing w:lineRule="exact" w:line="500" w:before="100" w:after="100"/>
        <w:contextualSpacing/>
        <w:rPr>
          <w:b/>
          <w:color w:val="C00000"/>
          <w:sz w:val="21"/>
          <w:szCs w:val="21"/>
        </w:rPr>
      </w:pPr>
      <w:r>
        <w:rPr>
          <w:b/>
          <w:color w:val="C00000"/>
          <w:sz w:val="21"/>
          <w:szCs w:val="21"/>
        </w:rPr>
        <w:t>四、教学办法</w:t>
      </w:r>
    </w:p>
    <w:p>
      <w:pPr>
        <w:pStyle w:val="Style21"/>
        <w:spacing w:lineRule="exact" w:line="500" w:before="100" w:after="100"/>
        <w:contextualSpacing/>
        <w:rPr>
          <w:sz w:val="21"/>
          <w:szCs w:val="21"/>
        </w:rPr>
      </w:pPr>
      <w:r>
        <w:rPr>
          <w:sz w:val="21"/>
          <w:szCs w:val="21"/>
        </w:rPr>
        <w:t>　　</w:t>
      </w:r>
      <w:r>
        <w:rPr>
          <w:rFonts w:hint="eastAsia"/>
          <w:sz w:val="21"/>
          <w:szCs w:val="21"/>
        </w:rPr>
        <w:t>面授教学</w:t>
      </w:r>
      <w:r>
        <w:rPr>
          <w:rFonts w:hint="eastAsia"/>
          <w:sz w:val="21"/>
          <w:szCs w:val="21"/>
        </w:rPr>
        <w:t>/</w:t>
      </w:r>
      <w:r>
        <w:rPr>
          <w:sz w:val="21"/>
          <w:szCs w:val="21"/>
        </w:rPr>
        <w:t>网络</w:t>
      </w:r>
      <w:r>
        <w:rPr>
          <w:rFonts w:hint="eastAsia"/>
          <w:sz w:val="21"/>
          <w:szCs w:val="21"/>
        </w:rPr>
        <w:t>教学</w:t>
      </w:r>
      <w:r>
        <w:rPr>
          <w:sz w:val="21"/>
          <w:szCs w:val="21"/>
        </w:rPr>
        <w:t>与自学相结合。每月利用周末双休日集中时间进行授课，寒暑假除外。</w:t>
      </w:r>
    </w:p>
    <w:p>
      <w:pPr>
        <w:pStyle w:val="Style21"/>
        <w:spacing w:lineRule="exact" w:line="500" w:before="100" w:after="100"/>
        <w:contextualSpacing/>
        <w:rPr>
          <w:sz w:val="21"/>
          <w:szCs w:val="21"/>
        </w:rPr>
      </w:pPr>
      <w:r>
        <w:rPr>
          <w:sz w:val="21"/>
          <w:szCs w:val="21"/>
        </w:rPr>
        <w:t>　　以更新知识结构、掌握现代管理技能和管理办法，以此提高学员综合素质为目标，使学员掌握和运用新理论、新思想、新观念充实自己，进一步提高其理论修养和实践水平，努力提升学员科学决策水平以及分析问题、解决问题的能力。</w:t>
      </w:r>
    </w:p>
    <w:p>
      <w:pPr>
        <w:pStyle w:val="Style21"/>
        <w:spacing w:lineRule="exact" w:line="500" w:before="100" w:after="100"/>
        <w:contextualSpacing/>
        <w:rPr>
          <w:sz w:val="21"/>
          <w:szCs w:val="21"/>
        </w:rPr>
      </w:pPr>
      <w:r>
        <w:rPr>
          <w:sz w:val="21"/>
          <w:szCs w:val="21"/>
        </w:rPr>
        <w:t>　　理论与实践相结合。</w:t>
      </w:r>
    </w:p>
    <w:p>
      <w:pPr>
        <w:pStyle w:val="Style21"/>
        <w:spacing w:lineRule="exact" w:line="500" w:before="100" w:after="100"/>
        <w:contextualSpacing/>
        <w:rPr>
          <w:sz w:val="21"/>
          <w:szCs w:val="21"/>
        </w:rPr>
      </w:pPr>
      <w:r>
        <w:rPr>
          <w:sz w:val="21"/>
          <w:szCs w:val="21"/>
        </w:rPr>
        <w:t>　　知识与经验相补充。</w:t>
      </w:r>
    </w:p>
    <w:p>
      <w:pPr>
        <w:pStyle w:val="Style21"/>
        <w:spacing w:lineRule="exact" w:line="500" w:before="100" w:after="100"/>
        <w:contextualSpacing/>
        <w:rPr>
          <w:sz w:val="21"/>
          <w:szCs w:val="21"/>
        </w:rPr>
      </w:pPr>
      <w:r>
        <w:rPr>
          <w:sz w:val="21"/>
          <w:szCs w:val="21"/>
        </w:rPr>
        <w:t>　　学习与探索相统一。</w:t>
      </w:r>
    </w:p>
    <w:p>
      <w:pPr>
        <w:pStyle w:val="Style21"/>
        <w:spacing w:lineRule="exact" w:line="500" w:before="100" w:after="100"/>
        <w:contextualSpacing/>
        <w:rPr>
          <w:rFonts w:hint="eastAsia"/>
          <w:b/>
          <w:color w:val="C00000"/>
          <w:sz w:val="21"/>
          <w:szCs w:val="21"/>
        </w:rPr>
      </w:pPr>
      <w:r>
        <w:rPr>
          <w:rFonts w:hint="eastAsia"/>
          <w:b/>
          <w:color w:val="C00000"/>
          <w:sz w:val="21"/>
          <w:szCs w:val="21"/>
        </w:rPr>
      </w:r>
    </w:p>
    <w:p>
      <w:pPr>
        <w:pStyle w:val="Style21"/>
        <w:spacing w:lineRule="exact" w:line="500" w:before="100" w:after="100"/>
        <w:contextualSpacing/>
        <w:rPr>
          <w:b/>
          <w:color w:val="C00000"/>
          <w:sz w:val="21"/>
          <w:szCs w:val="21"/>
        </w:rPr>
      </w:pPr>
      <w:r>
        <w:rPr>
          <w:b/>
          <w:color w:val="C00000"/>
          <w:sz w:val="21"/>
          <w:szCs w:val="21"/>
        </w:rPr>
        <w:t>五、学习期限</w:t>
      </w:r>
    </w:p>
    <w:p>
      <w:pPr>
        <w:pStyle w:val="Style21"/>
        <w:spacing w:lineRule="exact" w:line="500" w:before="100" w:after="100"/>
        <w:contextualSpacing/>
        <w:rPr>
          <w:sz w:val="21"/>
          <w:szCs w:val="21"/>
        </w:rPr>
      </w:pPr>
      <w:r>
        <w:rPr>
          <w:sz w:val="21"/>
          <w:szCs w:val="21"/>
        </w:rPr>
        <w:t>　　学习时间：一年半。自开班之日起算。</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b/>
          <w:color w:val="C00000"/>
          <w:sz w:val="21"/>
          <w:szCs w:val="21"/>
        </w:rPr>
        <w:t>六、报名条件及报名手续</w:t>
      </w:r>
    </w:p>
    <w:p>
      <w:pPr>
        <w:pStyle w:val="Style21"/>
        <w:spacing w:lineRule="exact" w:line="500" w:before="100" w:after="100"/>
        <w:contextualSpacing/>
        <w:rPr>
          <w:sz w:val="21"/>
          <w:szCs w:val="21"/>
        </w:rPr>
      </w:pPr>
      <w:r>
        <w:rPr>
          <w:sz w:val="21"/>
          <w:szCs w:val="21"/>
        </w:rPr>
        <w:t>　</w:t>
      </w:r>
      <w:r>
        <w:rPr>
          <w:rFonts w:hint="eastAsia"/>
          <w:sz w:val="21"/>
          <w:szCs w:val="21"/>
        </w:rPr>
        <w:t>1</w:t>
      </w:r>
      <w:r>
        <w:rPr>
          <w:sz w:val="21"/>
          <w:szCs w:val="21"/>
        </w:rPr>
        <w:t>、大专及其以上学历者均可报名参加学习。</w:t>
      </w:r>
    </w:p>
    <w:p>
      <w:pPr>
        <w:pStyle w:val="Style21"/>
        <w:spacing w:lineRule="exact" w:line="500" w:before="100" w:after="100"/>
        <w:contextualSpacing/>
        <w:rPr>
          <w:sz w:val="21"/>
          <w:szCs w:val="21"/>
        </w:rPr>
      </w:pPr>
      <w:r>
        <w:rPr>
          <w:sz w:val="21"/>
          <w:szCs w:val="21"/>
        </w:rPr>
        <w:t>　</w:t>
      </w:r>
      <w:r>
        <w:rPr>
          <w:rFonts w:hint="eastAsia"/>
          <w:sz w:val="21"/>
          <w:szCs w:val="21"/>
        </w:rPr>
        <w:t>2</w:t>
      </w:r>
      <w:r>
        <w:rPr>
          <w:sz w:val="21"/>
          <w:szCs w:val="21"/>
        </w:rPr>
        <w:t>、报名手续：</w:t>
      </w:r>
    </w:p>
    <w:p>
      <w:pPr>
        <w:pStyle w:val="Style21"/>
        <w:spacing w:lineRule="exact" w:line="500" w:before="100" w:after="100"/>
        <w:contextualSpacing/>
        <w:rPr>
          <w:rFonts w:hint="eastAsia"/>
          <w:sz w:val="21"/>
          <w:szCs w:val="21"/>
        </w:rPr>
      </w:pPr>
      <w:r>
        <w:rPr>
          <w:sz w:val="21"/>
          <w:szCs w:val="21"/>
        </w:rPr>
        <w:t>　　</w:t>
      </w:r>
      <w:r>
        <w:rPr>
          <w:rFonts w:hint="eastAsia"/>
          <w:sz w:val="21"/>
          <w:szCs w:val="21"/>
        </w:rPr>
        <w:t xml:space="preserve">   </w:t>
      </w:r>
      <w:r>
        <w:rPr>
          <w:sz w:val="21"/>
          <w:szCs w:val="21"/>
        </w:rPr>
        <w:t>①填写在职课程培训班报名登记表</w:t>
      </w:r>
      <w:r>
        <w:rPr>
          <w:rFonts w:hint="eastAsia"/>
          <w:sz w:val="21"/>
          <w:szCs w:val="21"/>
        </w:rPr>
        <w:t>；</w:t>
      </w:r>
    </w:p>
    <w:p>
      <w:pPr>
        <w:pStyle w:val="Style21"/>
        <w:spacing w:lineRule="exact" w:line="500" w:before="100" w:after="100"/>
        <w:contextualSpacing/>
        <w:rPr>
          <w:sz w:val="21"/>
          <w:szCs w:val="21"/>
        </w:rPr>
      </w:pPr>
      <w:r>
        <w:rPr>
          <w:sz w:val="21"/>
          <w:szCs w:val="21"/>
        </w:rPr>
        <w:t>　　</w:t>
      </w:r>
      <w:r>
        <w:rPr>
          <w:rFonts w:hint="eastAsia"/>
          <w:sz w:val="21"/>
          <w:szCs w:val="21"/>
        </w:rPr>
        <w:t xml:space="preserve">   </w:t>
      </w:r>
      <w:r>
        <w:rPr>
          <w:sz w:val="21"/>
          <w:szCs w:val="21"/>
        </w:rPr>
        <w:t>②提交学历</w:t>
      </w:r>
      <w:r>
        <w:rPr>
          <w:rFonts w:hint="eastAsia"/>
          <w:sz w:val="21"/>
          <w:szCs w:val="21"/>
        </w:rPr>
        <w:t>证书</w:t>
      </w:r>
      <w:r>
        <w:rPr>
          <w:sz w:val="21"/>
          <w:szCs w:val="21"/>
        </w:rPr>
        <w:t>、学位证书、身份证</w:t>
      </w:r>
      <w:r>
        <w:rPr>
          <w:rFonts w:hint="eastAsia"/>
          <w:sz w:val="21"/>
          <w:szCs w:val="21"/>
        </w:rPr>
        <w:t>正反面以</w:t>
      </w:r>
      <w:r>
        <w:rPr>
          <w:sz w:val="21"/>
          <w:szCs w:val="21"/>
        </w:rPr>
        <w:t>及一寸白底照片</w:t>
      </w:r>
      <w:r>
        <w:rPr>
          <w:rFonts w:hint="eastAsia"/>
          <w:sz w:val="21"/>
          <w:szCs w:val="21"/>
        </w:rPr>
        <w:t>电子版</w:t>
      </w:r>
      <w:r>
        <w:rPr>
          <w:sz w:val="21"/>
          <w:szCs w:val="21"/>
        </w:rPr>
        <w:t>。</w:t>
      </w:r>
    </w:p>
    <w:p>
      <w:pPr>
        <w:pStyle w:val="Style21"/>
        <w:spacing w:lineRule="exact" w:line="500" w:before="100" w:after="100"/>
        <w:contextualSpacing/>
        <w:rPr>
          <w:rFonts w:hint="eastAsia"/>
          <w:sz w:val="21"/>
          <w:szCs w:val="21"/>
        </w:rPr>
      </w:pPr>
      <w:r>
        <w:rPr>
          <w:rFonts w:hint="eastAsia"/>
          <w:sz w:val="21"/>
          <w:szCs w:val="21"/>
        </w:rPr>
      </w:r>
    </w:p>
    <w:p>
      <w:pPr>
        <w:pStyle w:val="Style21"/>
        <w:spacing w:lineRule="exact" w:line="500" w:before="100" w:after="100"/>
        <w:contextualSpacing/>
        <w:rPr>
          <w:sz w:val="21"/>
          <w:szCs w:val="21"/>
        </w:rPr>
      </w:pPr>
      <w:r>
        <w:rPr>
          <w:b/>
          <w:color w:val="C00000"/>
          <w:sz w:val="21"/>
          <w:szCs w:val="21"/>
        </w:rPr>
        <w:t>七、收费标准</w:t>
      </w:r>
    </w:p>
    <w:p>
      <w:pPr>
        <w:pStyle w:val="Style21"/>
        <w:spacing w:lineRule="exact" w:line="500" w:before="100" w:after="100"/>
        <w:contextualSpacing/>
        <w:rPr>
          <w:sz w:val="21"/>
          <w:szCs w:val="21"/>
        </w:rPr>
      </w:pPr>
      <w:r>
        <w:rPr>
          <w:sz w:val="21"/>
          <w:szCs w:val="21"/>
        </w:rPr>
        <w:t>　　在职课程培训班费用</w:t>
      </w:r>
      <w:r>
        <w:rPr>
          <w:sz w:val="21"/>
          <w:szCs w:val="21"/>
        </w:rPr>
        <w:t>3</w:t>
      </w:r>
      <w:r>
        <w:rPr>
          <w:rFonts w:hint="eastAsia"/>
          <w:sz w:val="21"/>
          <w:szCs w:val="21"/>
        </w:rPr>
        <w:t>8</w:t>
      </w:r>
      <w:r>
        <w:rPr>
          <w:sz w:val="21"/>
          <w:szCs w:val="21"/>
        </w:rPr>
        <w:t>000</w:t>
      </w:r>
      <w:r>
        <w:rPr>
          <w:sz w:val="21"/>
          <w:szCs w:val="21"/>
        </w:rPr>
        <w:t>元。</w:t>
      </w:r>
      <w:r>
        <w:rPr>
          <w:sz w:val="21"/>
          <w:szCs w:val="21"/>
        </w:rPr>
        <w:t>(</w:t>
      </w:r>
      <w:r>
        <w:rPr>
          <w:sz w:val="21"/>
          <w:szCs w:val="21"/>
        </w:rPr>
        <w:t>不含教材费</w:t>
      </w:r>
      <w:r>
        <w:rPr>
          <w:sz w:val="21"/>
          <w:szCs w:val="21"/>
        </w:rPr>
        <w:t>)</w:t>
      </w:r>
    </w:p>
    <w:p>
      <w:pPr>
        <w:pStyle w:val="Style21"/>
        <w:spacing w:lineRule="exact" w:line="500" w:before="100" w:after="100"/>
        <w:contextualSpacing/>
        <w:rPr>
          <w:sz w:val="21"/>
          <w:szCs w:val="21"/>
        </w:rPr>
      </w:pPr>
      <w:r>
        <w:rPr>
          <w:sz w:val="21"/>
          <w:szCs w:val="21"/>
        </w:rPr>
      </w:r>
    </w:p>
    <w:p>
      <w:pPr>
        <w:pStyle w:val="Style21"/>
        <w:spacing w:lineRule="exact" w:line="500" w:before="100" w:after="100"/>
        <w:contextualSpacing/>
        <w:rPr>
          <w:b/>
          <w:color w:val="C00000"/>
          <w:sz w:val="21"/>
          <w:szCs w:val="21"/>
        </w:rPr>
      </w:pPr>
      <w:r>
        <w:rPr>
          <w:b/>
          <w:color w:val="C00000"/>
          <w:sz w:val="21"/>
          <w:szCs w:val="21"/>
        </w:rPr>
        <w:t>八、缴费方式</w:t>
      </w:r>
    </w:p>
    <w:p>
      <w:pPr>
        <w:pStyle w:val="Style21"/>
        <w:spacing w:lineRule="exact" w:line="500" w:before="100" w:after="100"/>
        <w:contextualSpacing/>
        <w:rPr>
          <w:sz w:val="21"/>
          <w:szCs w:val="21"/>
        </w:rPr>
      </w:pPr>
      <w:r>
        <w:rPr>
          <w:sz w:val="21"/>
          <w:szCs w:val="21"/>
        </w:rPr>
        <w:t>　　个人账户缴费：点击“人大培训网”发布简章的缴费链接，通过学校电子收费系统缴费。</w:t>
      </w:r>
    </w:p>
    <w:p>
      <w:pPr>
        <w:pStyle w:val="Style21"/>
        <w:spacing w:lineRule="exact" w:line="500" w:before="100" w:after="100"/>
        <w:contextualSpacing/>
        <w:rPr>
          <w:sz w:val="21"/>
          <w:szCs w:val="21"/>
        </w:rPr>
      </w:pPr>
      <w:r>
        <w:rPr>
          <w:sz w:val="21"/>
          <w:szCs w:val="21"/>
        </w:rPr>
        <w:t>　</w:t>
      </w:r>
    </w:p>
    <w:p>
      <w:pPr>
        <w:pStyle w:val="Style21"/>
        <w:spacing w:lineRule="exact" w:line="500" w:before="100" w:after="100"/>
        <w:contextualSpacing/>
        <w:rPr>
          <w:b/>
          <w:color w:val="C00000"/>
          <w:sz w:val="21"/>
          <w:szCs w:val="21"/>
        </w:rPr>
      </w:pPr>
      <w:r>
        <w:rPr>
          <w:b/>
          <w:color w:val="C00000"/>
          <w:sz w:val="21"/>
          <w:szCs w:val="21"/>
        </w:rPr>
        <w:t>九、获取证书</w:t>
      </w:r>
    </w:p>
    <w:p>
      <w:pPr>
        <w:pStyle w:val="Style21"/>
        <w:spacing w:lineRule="exact" w:line="500" w:before="100" w:after="100"/>
        <w:ind w:firstLine="420" w:end="0"/>
        <w:contextualSpacing/>
        <w:rPr>
          <w:rFonts w:hint="eastAsia"/>
          <w:sz w:val="21"/>
          <w:szCs w:val="21"/>
        </w:rPr>
      </w:pPr>
      <w:r>
        <w:rPr>
          <w:sz w:val="21"/>
          <w:szCs w:val="21"/>
        </w:rPr>
        <w:t>学员在规定期限内完成在职课程培训班的学习项目，通过规定的课程考试，由中国人民大学继续教育处颁发在职课程培训班结业证书。</w:t>
      </w:r>
    </w:p>
    <w:p>
      <w:pPr>
        <w:pStyle w:val="Style21"/>
        <w:spacing w:lineRule="exact" w:line="500" w:before="100" w:after="100"/>
        <w:ind w:firstLine="420" w:end="0"/>
        <w:contextualSpacing/>
        <w:rPr>
          <w:rFonts w:hint="eastAsia"/>
          <w:sz w:val="21"/>
          <w:szCs w:val="21"/>
        </w:rPr>
      </w:pPr>
      <w:r>
        <w:rPr>
          <w:rFonts w:hint="eastAsia"/>
          <w:sz w:val="21"/>
          <w:szCs w:val="21"/>
        </w:rPr>
      </w:r>
    </w:p>
    <w:p>
      <w:pPr>
        <w:pStyle w:val="Style21"/>
        <w:spacing w:lineRule="exact" w:line="500" w:before="100" w:after="100"/>
        <w:ind w:firstLine="420" w:end="0"/>
        <w:contextualSpacing/>
        <w:rPr>
          <w:rFonts w:hint="eastAsia"/>
          <w:sz w:val="21"/>
          <w:szCs w:val="21"/>
        </w:rPr>
      </w:pPr>
      <w:r>
        <w:rPr>
          <w:rFonts w:hint="eastAsia"/>
          <w:sz w:val="21"/>
          <w:szCs w:val="21"/>
        </w:rPr>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MjJkYmYyOGQwNjU2YTFjYjBlYWQzZDdlZjc2Nzk1ZWY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Style13">
    <w:name w:val="默认段落字体"/>
    <w:qFormat/>
    <w:rPr/>
  </w:style>
  <w:style w:type="character" w:styleId="6">
    <w:name w:val="标题 6 字符"/>
    <w:qFormat/>
    <w:rPr>
      <w:rFonts w:ascii="宋体;SimSun" w:hAnsi="宋体;SimSun" w:cs="宋体;SimSun"/>
      <w:b/>
      <w:sz w:val="15"/>
      <w:szCs w:val="15"/>
    </w:rPr>
  </w:style>
  <w:style w:type="character" w:styleId="Style14">
    <w:name w:val="批注框文本 字符"/>
    <w:qFormat/>
    <w:rPr>
      <w:sz w:val="18"/>
      <w:szCs w:val="18"/>
    </w:rPr>
  </w:style>
  <w:style w:type="character" w:styleId="Style15">
    <w:name w:val="页脚 字符"/>
    <w:qFormat/>
    <w:rPr>
      <w:sz w:val="18"/>
      <w:szCs w:val="18"/>
    </w:rPr>
  </w:style>
  <w:style w:type="character" w:styleId="Style16">
    <w:name w:val="页眉 字符"/>
    <w:qFormat/>
    <w:rPr>
      <w:sz w:val="18"/>
      <w:szCs w:val="18"/>
    </w:rPr>
  </w:style>
  <w:style w:type="character" w:styleId="Hyperlink">
    <w:name w:val="Hyperlink"/>
    <w:rPr>
      <w:color w:val="0563C1"/>
      <w:u w:val="single"/>
    </w:rPr>
  </w:style>
  <w:style w:type="paragraph" w:styleId="Style17">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索引"/>
    <w:basedOn w:val="Normal"/>
    <w:qFormat/>
    <w:pPr>
      <w:suppressLineNumbers/>
    </w:pPr>
    <w:rPr>
      <w:rFonts w:cs="Lucida Sans"/>
    </w:rPr>
  </w:style>
  <w:style w:type="paragraph" w:styleId="Style19">
    <w:name w:val="批注框文本"/>
    <w:basedOn w:val="Normal"/>
    <w:qFormat/>
    <w:pPr/>
    <w:rPr>
      <w:kern w:val="0"/>
      <w:sz w:val="18"/>
      <w:szCs w:val="18"/>
    </w:rPr>
  </w:style>
  <w:style w:type="paragraph" w:styleId="Style20">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1">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2">
    <w:name w:val="表格内容"/>
    <w:basedOn w:val="Normal"/>
    <w:qFormat/>
    <w:pPr>
      <w:widowControl w:val="false"/>
      <w:suppressLineNumbers/>
    </w:pPr>
    <w:rPr/>
  </w:style>
  <w:style w:type="paragraph" w:styleId="Style23">
    <w:name w:val="表格标题"/>
    <w:basedOn w:val="Style22"/>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2026-12-27T21:25:00Z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53E14C1516204174B8212A2036FE0527_13</vt:lpwstr>
  </property>
  <property fmtid="{D5CDD505-2E9C-101B-9397-08002B2CF9AE}" pid="3" name="KSOProductBuildVer">
    <vt:lpwstr>2052-12.1.0.17133</vt:lpwstr>
  </property>
</Properties>
</file>