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18"/>
        <w:snapToGrid w:val="false"/>
        <w:spacing w:lineRule="exact" w:line="500" w:before="0" w:after="100"/>
        <w:ind w:hangingChars="600" w:startChars="0" w:start="0" w:endChars="0" w:end="0"/>
        <w:rPr>
          <w:rFonts w:hint="eastAsia"/>
          <w:b/>
          <w:sz w:val="21"/>
          <w:szCs w:val="21"/>
          <w:lang w:val="zh-CN" w:eastAsia="zh-CN"/>
        </w:rPr>
      </w:pPr>
      <w:r>
        <w:drawing>
          <wp:anchor distT="0" distB="0" distL="114935" distR="114935" simplePos="0" relativeHeight="7" behindDoc="0" locked="0" layoutInCell="1" allowOverlap="1">
            <wp:simplePos x="0" y="0"/>
            <wp:positionH relativeFrom="column">
              <wp:posOffset>790575</wp:posOffset>
            </wp:positionH>
            <wp:positionV relativeFrom="paragraph">
              <wp:posOffset>-152400</wp:posOffset>
            </wp:positionV>
            <wp:extent cx="3457575" cy="107632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
                    <a:srcRect l="-5" t="-17" r="-5" b="-17"/>
                    <a:stretch>
                      <a:fillRect/>
                    </a:stretch>
                  </pic:blipFill>
                  <pic:spPr bwMode="auto">
                    <a:xfrm>
                      <a:off x="0" y="0"/>
                      <a:ext cx="3457575" cy="1076325"/>
                    </a:xfrm>
                    <a:prstGeom prst="rect">
                      <a:avLst/>
                    </a:prstGeom>
                    <a:noFill/>
                  </pic:spPr>
                </pic:pic>
              </a:graphicData>
            </a:graphic>
          </wp:anchor>
        </w:drawing>
      </w:r>
      <w:r>
        <w:rPr>
          <w:b/>
          <w:sz w:val="21"/>
          <w:szCs w:val="21"/>
        </w:rPr>
        <w:t>　</w:t>
      </w:r>
    </w:p>
    <w:p>
      <w:pPr>
        <w:pStyle w:val="Style18"/>
        <w:snapToGrid w:val="false"/>
        <w:spacing w:lineRule="exact" w:line="500" w:before="100" w:after="100"/>
        <w:ind w:hangingChars="600" w:startChars="0" w:start="0" w:endChars="0" w:end="0"/>
        <w:contextualSpacing/>
        <w:rPr>
          <w:rFonts w:hint="eastAsia"/>
          <w:b/>
          <w:sz w:val="21"/>
          <w:szCs w:val="21"/>
          <w:lang w:val="zh-CN" w:eastAsia="zh-CN"/>
        </w:rPr>
      </w:pPr>
      <w:r>
        <w:rPr>
          <w:rFonts w:hint="eastAsia"/>
          <w:b/>
          <w:sz w:val="21"/>
          <w:szCs w:val="21"/>
          <w:lang w:val="zh-CN" w:eastAsia="zh-CN"/>
        </w:rPr>
      </w:r>
    </w:p>
    <w:p>
      <w:pPr>
        <w:pStyle w:val="Style18"/>
        <w:tabs>
          <w:tab w:val="clear" w:pos="420"/>
          <w:tab w:val="left" w:pos="7530" w:leader="none"/>
        </w:tabs>
        <w:snapToGrid w:val="false"/>
        <w:spacing w:lineRule="exact" w:line="500" w:before="100" w:after="100"/>
        <w:ind w:hangingChars="600" w:startChars="0" w:start="0" w:endChars="0" w:end="0"/>
        <w:contextualSpacing/>
        <w:rPr>
          <w:rFonts w:hint="eastAsia"/>
          <w:b/>
          <w:sz w:val="21"/>
          <w:szCs w:val="21"/>
          <w:lang w:val="zh-CN" w:eastAsia="zh-CN"/>
        </w:rPr>
      </w:pPr>
      <w:r>
        <w:rPr>
          <w:b/>
          <w:sz w:val="21"/>
          <w:szCs w:val="21"/>
          <w:lang w:val="zh-CN" w:eastAsia="zh-CN"/>
        </w:rPr>
        <w:tab/>
      </w:r>
    </w:p>
    <w:p>
      <w:pPr>
        <w:pStyle w:val="Style18"/>
        <w:spacing w:lineRule="exact" w:line="500" w:before="100" w:after="100"/>
        <w:contextualSpacing/>
        <w:jc w:val="center"/>
        <w:rPr>
          <w:b/>
          <w:bCs/>
          <w:sz w:val="30"/>
          <w:szCs w:val="30"/>
        </w:rPr>
      </w:pPr>
      <w:r>
        <w:rPr>
          <w:b/>
          <w:bCs/>
          <w:sz w:val="30"/>
          <w:szCs w:val="30"/>
        </w:rPr>
        <w:t>202</w:t>
      </w:r>
      <w:r>
        <w:rPr>
          <w:rFonts w:hint="eastAsia"/>
          <w:b/>
          <w:bCs/>
          <w:sz w:val="30"/>
          <w:szCs w:val="30"/>
        </w:rPr>
        <w:t>5</w:t>
      </w:r>
      <w:r>
        <w:rPr>
          <w:b/>
          <w:bCs/>
          <w:sz w:val="30"/>
          <w:szCs w:val="30"/>
        </w:rPr>
        <w:t>年中国人民大学</w:t>
      </w:r>
      <w:r>
        <w:rPr>
          <w:rFonts w:hint="eastAsia"/>
          <w:b/>
          <w:bCs/>
          <w:sz w:val="30"/>
          <w:szCs w:val="30"/>
        </w:rPr>
        <w:t>数学</w:t>
      </w:r>
      <w:r>
        <w:rPr>
          <w:b/>
          <w:bCs/>
          <w:sz w:val="30"/>
          <w:szCs w:val="30"/>
        </w:rPr>
        <w:t>学院</w:t>
      </w:r>
      <w:r>
        <w:rPr>
          <w:rFonts w:hint="eastAsia"/>
          <w:b/>
          <w:bCs/>
          <w:sz w:val="30"/>
          <w:szCs w:val="30"/>
        </w:rPr>
        <w:t>计算数学</w:t>
      </w:r>
      <w:r>
        <w:rPr>
          <w:b/>
          <w:bCs/>
          <w:sz w:val="30"/>
          <w:szCs w:val="30"/>
        </w:rPr>
        <w:t>专业</w:t>
      </w:r>
    </w:p>
    <w:p>
      <w:pPr>
        <w:pStyle w:val="Style18"/>
        <w:spacing w:lineRule="exact" w:line="500" w:before="100" w:after="100"/>
        <w:contextualSpacing/>
        <w:jc w:val="center"/>
        <w:rPr>
          <w:b/>
          <w:bCs/>
          <w:sz w:val="30"/>
          <w:szCs w:val="30"/>
        </w:rPr>
      </w:pPr>
      <w:r>
        <w:rPr>
          <w:b/>
          <w:bCs/>
          <w:sz w:val="30"/>
          <w:szCs w:val="30"/>
        </w:rPr>
        <w:t>在职课程培训班</w:t>
      </w:r>
    </w:p>
    <w:p>
      <w:pPr>
        <w:pStyle w:val="Style18"/>
        <w:spacing w:lineRule="exact" w:line="500" w:before="100" w:after="100"/>
        <w:contextualSpacing/>
        <w:rPr>
          <w:sz w:val="21"/>
          <w:szCs w:val="21"/>
        </w:rPr>
      </w:pPr>
      <w:r>
        <mc:AlternateContent>
          <mc:Choice Requires="wps">
            <w:drawing>
              <wp:anchor distT="0" distB="0" distL="114935" distR="114935" simplePos="0" relativeHeight="6" behindDoc="0" locked="0" layoutInCell="1" allowOverlap="1">
                <wp:simplePos x="0" y="0"/>
                <wp:positionH relativeFrom="column">
                  <wp:posOffset>9525</wp:posOffset>
                </wp:positionH>
                <wp:positionV relativeFrom="paragraph">
                  <wp:posOffset>203200</wp:posOffset>
                </wp:positionV>
                <wp:extent cx="5477510" cy="1270"/>
                <wp:effectExtent l="635" t="3175" r="635" b="3175"/>
                <wp:wrapNone/>
                <wp:docPr id="2" name="自选图形 6"/>
                <a:graphic xmlns:a="http://schemas.openxmlformats.org/drawingml/2006/main">
                  <a:graphicData uri="http://schemas.microsoft.com/office/word/2010/wordprocessingShape">
                    <wps:wsp>
                      <wps:cNvCnPr/>
                      <wps:spPr>
                        <a:xfrm>
                          <a:off x="0" y="0"/>
                          <a:ext cx="5478120" cy="1800"/>
                        </a:xfrm>
                        <a:prstGeom prst="straightConnector1">
                          <a:avLst/>
                        </a:prstGeom>
                        <a:ln w="6480">
                          <a:solidFill>
                            <a:srgbClr val="C00000"/>
                          </a:solidFill>
                          <a:miter/>
                        </a:ln>
                      </wps:spPr>
                      <wps:bodyPr/>
                    </wps:wsp>
                  </a:graphicData>
                </a:graphic>
              </wp:anchor>
            </w:drawing>
          </mc:Choice>
          <mc:Fallback>
            <w:pict>
              <v:shapetype id="_x0000_t32" coordsize="21600,21600" o:spt="32" path="m,l21600,21600nfe">
                <v:stroke joinstyle="miter"/>
                <v:path gradientshapeok="t" o:connecttype="rect" textboxrect="0,0,21600,21600"/>
              </v:shapetype>
              <v:shape id="shape_0" stroked="t" o:allowincell="f" style="position:absolute;margin-left:0.75pt;margin-top:16pt;width:431.3pt;height:0.1pt" type="_x0000_t32">
                <v:stroke color="#c00000" weight="6480" joinstyle="miter" endcap="flat"/>
                <v:fill o:detectmouseclick="t" on="false"/>
                <w10:wrap type="none"/>
              </v:shape>
            </w:pict>
          </mc:Fallback>
        </mc:AlternateContent>
      </w:r>
      <w:r>
        <w:rPr>
          <w:sz w:val="21"/>
          <w:szCs w:val="21"/>
        </w:rPr>
        <w:t>　　</w:t>
      </w:r>
    </w:p>
    <w:p>
      <w:pPr>
        <w:pStyle w:val="Style18"/>
        <w:spacing w:lineRule="exact" w:line="500" w:before="100" w:after="100"/>
        <w:contextualSpacing/>
        <w:rPr>
          <w:sz w:val="21"/>
          <w:szCs w:val="21"/>
        </w:rPr>
      </w:pPr>
      <w:r>
        <w:rPr>
          <w:sz w:val="21"/>
          <w:szCs w:val="21"/>
        </w:rPr>
        <w:t>培训类别：</w:t>
      </w:r>
      <w:r>
        <w:rPr>
          <w:color w:val="C00000"/>
          <w:sz w:val="21"/>
          <w:szCs w:val="21"/>
        </w:rPr>
        <w:t>课程班</w:t>
      </w:r>
      <w:r>
        <w:rPr>
          <w:color w:val="C00000"/>
          <w:sz w:val="21"/>
          <w:szCs w:val="21"/>
        </w:rPr>
        <w:t>[</w:t>
      </w:r>
      <w:r>
        <w:rPr>
          <w:rFonts w:hint="eastAsia"/>
          <w:color w:val="C00000"/>
          <w:sz w:val="21"/>
          <w:szCs w:val="21"/>
        </w:rPr>
        <w:t>理工</w:t>
      </w:r>
      <w:r>
        <w:rPr>
          <w:color w:val="C00000"/>
          <w:sz w:val="21"/>
          <w:szCs w:val="21"/>
        </w:rPr>
        <w:t>]</w:t>
      </w:r>
      <w:r>
        <w:rPr>
          <w:sz w:val="21"/>
          <w:szCs w:val="21"/>
        </w:rPr>
        <w:t xml:space="preserve">      </w:t>
      </w:r>
      <w:r>
        <w:rPr>
          <w:sz w:val="21"/>
          <w:szCs w:val="21"/>
        </w:rPr>
        <w:t>培训费：</w:t>
      </w:r>
      <w:r>
        <w:rPr>
          <w:rFonts w:hint="eastAsia"/>
          <w:color w:val="C00000"/>
          <w:sz w:val="21"/>
          <w:szCs w:val="21"/>
        </w:rPr>
        <w:t>380</w:t>
      </w:r>
      <w:r>
        <w:rPr>
          <w:color w:val="C00000"/>
          <w:sz w:val="21"/>
          <w:szCs w:val="21"/>
        </w:rPr>
        <w:t>00.00</w:t>
      </w:r>
      <w:r>
        <w:rPr>
          <w:color w:val="C00000"/>
          <w:sz w:val="21"/>
          <w:szCs w:val="21"/>
        </w:rPr>
        <w:t xml:space="preserve">元 </w:t>
      </w:r>
      <w:r>
        <w:rPr>
          <w:sz w:val="21"/>
          <w:szCs w:val="21"/>
        </w:rPr>
        <w:t xml:space="preserve">    主办单位：</w:t>
      </w:r>
      <w:r>
        <w:rPr>
          <w:rFonts w:hint="eastAsia"/>
          <w:color w:val="C00000"/>
          <w:sz w:val="21"/>
          <w:szCs w:val="21"/>
        </w:rPr>
        <w:t>数学</w:t>
      </w:r>
      <w:r>
        <w:rPr>
          <w:color w:val="C00000"/>
          <w:sz w:val="21"/>
          <w:szCs w:val="21"/>
        </w:rPr>
        <w:t>学院</w:t>
      </w:r>
    </w:p>
    <w:p>
      <w:pPr>
        <w:pStyle w:val="Normal"/>
        <w:spacing w:lineRule="exact" w:line="500"/>
        <w:ind w:firstLineChars="200" w:startChars="0" w:start="0" w:endChars="0" w:end="0"/>
        <w:rPr>
          <w:rFonts w:ascii="宋体" w:hAnsi="宋体" w:cs="宋体"/>
          <w:szCs w:val="21"/>
        </w:rPr>
      </w:pPr>
      <w:r>
        <w:rPr>
          <w:rFonts w:ascii="宋体" w:hAnsi="宋体" w:cs="宋体" w:hint="eastAsia"/>
          <w:szCs w:val="21"/>
        </w:rPr>
        <w:t>中国人民大学是一所以人文社会科学为主的综合性研究型全国重点大学。学校是国家“</w:t>
      </w:r>
      <w:r>
        <w:rPr>
          <w:rFonts w:cs="宋体" w:hint="eastAsia" w:ascii="宋体" w:hAnsi="宋体"/>
          <w:szCs w:val="21"/>
        </w:rPr>
        <w:t>985</w:t>
      </w:r>
      <w:r>
        <w:rPr>
          <w:rFonts w:ascii="宋体" w:hAnsi="宋体" w:cs="宋体" w:hint="eastAsia"/>
          <w:szCs w:val="21"/>
        </w:rPr>
        <w:t>工程”和“</w:t>
      </w:r>
      <w:r>
        <w:rPr>
          <w:rFonts w:cs="宋体" w:hint="eastAsia" w:ascii="宋体" w:hAnsi="宋体"/>
          <w:szCs w:val="21"/>
        </w:rPr>
        <w:t>211</w:t>
      </w:r>
      <w:r>
        <w:rPr>
          <w:rFonts w:ascii="宋体" w:hAnsi="宋体" w:cs="宋体" w:hint="eastAsia"/>
          <w:szCs w:val="21"/>
        </w:rPr>
        <w:t>工程”重点建设的大学之一，在长期办学实践中成绩显著被誉为“我国人文社会科学高等教育领域的一面旗帜”。</w:t>
      </w:r>
    </w:p>
    <w:p>
      <w:pPr>
        <w:pStyle w:val="Style18"/>
        <w:numPr>
          <w:ilvl w:val="0"/>
          <w:numId w:val="2"/>
        </w:numPr>
        <w:spacing w:lineRule="exact" w:line="500" w:before="100" w:after="280"/>
        <w:rPr>
          <w:b/>
          <w:color w:val="C00000"/>
          <w:sz w:val="21"/>
          <w:szCs w:val="21"/>
        </w:rPr>
      </w:pPr>
      <w:r>
        <w:rPr>
          <w:b/>
          <w:color w:val="C00000"/>
          <w:sz w:val="21"/>
          <w:szCs w:val="21"/>
        </w:rPr>
        <w:t>学院及专业优势简介</w:t>
      </w:r>
    </w:p>
    <w:p>
      <w:pPr>
        <w:pStyle w:val="Style18"/>
        <w:keepNext w:val="false"/>
        <w:keepLines w:val="false"/>
        <w:pageBreakBefore w:val="false"/>
        <w:widowControl/>
        <w:suppressLineNumbers w:val="0"/>
        <w:kinsoku w:val="true"/>
        <w:overflowPunct w:val="true"/>
        <w:autoSpaceDE w:val="true"/>
        <w:bidi w:val="0"/>
        <w:snapToGrid w:val="false"/>
        <w:spacing w:lineRule="exact" w:line="500" w:before="0" w:after="0"/>
        <w:ind w:firstLine="567" w:end="0"/>
        <w:textAlignment w:val="auto"/>
        <w:rPr>
          <w:rFonts w:ascii="宋体" w:hAnsi="宋体" w:eastAsia="宋体" w:cs="宋体" w:hint="eastAsia"/>
          <w:sz w:val="21"/>
          <w:szCs w:val="21"/>
        </w:rPr>
      </w:pPr>
      <w:r>
        <w:rPr>
          <w:rFonts w:ascii="宋体" w:hAnsi="宋体" w:cs="宋体" w:hint="eastAsia"/>
          <w:sz w:val="21"/>
          <w:szCs w:val="21"/>
        </w:rPr>
        <w:t>中国人民大学数学学院师资力量雄厚、教育理念先进。中国人民大学数学学科自</w:t>
      </w:r>
      <w:r>
        <w:rPr>
          <w:rFonts w:eastAsia="宋体" w:cs="宋体" w:hint="eastAsia"/>
          <w:sz w:val="21"/>
          <w:szCs w:val="21"/>
        </w:rPr>
        <w:t>1950</w:t>
      </w:r>
      <w:r>
        <w:rPr>
          <w:rFonts w:ascii="宋体" w:hAnsi="宋体" w:cs="宋体" w:hint="eastAsia"/>
          <w:sz w:val="21"/>
          <w:szCs w:val="21"/>
        </w:rPr>
        <w:t>年创立以来，坚持发挥学校人文社科学科优势，突出数学学科与经济、金融以及管理科学紧密结合的特色。目前，数学学院共有教师</w:t>
      </w:r>
      <w:r>
        <w:rPr>
          <w:rFonts w:eastAsia="宋体" w:cs="宋体" w:hint="eastAsia"/>
          <w:sz w:val="21"/>
          <w:szCs w:val="21"/>
        </w:rPr>
        <w:t>55</w:t>
      </w:r>
      <w:r>
        <w:rPr>
          <w:rFonts w:ascii="宋体" w:hAnsi="宋体" w:cs="宋体" w:hint="eastAsia"/>
          <w:sz w:val="21"/>
          <w:szCs w:val="21"/>
        </w:rPr>
        <w:t>人，其中教授</w:t>
      </w:r>
      <w:r>
        <w:rPr>
          <w:rFonts w:eastAsia="宋体" w:cs="宋体" w:hint="eastAsia"/>
          <w:sz w:val="21"/>
          <w:szCs w:val="21"/>
        </w:rPr>
        <w:t>17</w:t>
      </w:r>
      <w:r>
        <w:rPr>
          <w:rFonts w:ascii="宋体" w:hAnsi="宋体" w:cs="宋体" w:hint="eastAsia"/>
          <w:sz w:val="21"/>
          <w:szCs w:val="21"/>
        </w:rPr>
        <w:t>人（外籍全职教授</w:t>
      </w:r>
      <w:r>
        <w:rPr>
          <w:rFonts w:eastAsia="宋体" w:cs="宋体" w:hint="eastAsia"/>
          <w:sz w:val="21"/>
          <w:szCs w:val="21"/>
        </w:rPr>
        <w:t>2</w:t>
      </w:r>
      <w:r>
        <w:rPr>
          <w:rFonts w:ascii="宋体" w:hAnsi="宋体" w:cs="宋体" w:hint="eastAsia"/>
          <w:sz w:val="21"/>
          <w:szCs w:val="21"/>
        </w:rPr>
        <w:t>人），副教授</w:t>
      </w:r>
      <w:r>
        <w:rPr>
          <w:rFonts w:eastAsia="宋体" w:cs="宋体" w:hint="eastAsia"/>
          <w:sz w:val="21"/>
          <w:szCs w:val="21"/>
        </w:rPr>
        <w:t>26</w:t>
      </w:r>
      <w:r>
        <w:rPr>
          <w:rFonts w:ascii="宋体" w:hAnsi="宋体" w:cs="宋体" w:hint="eastAsia"/>
          <w:sz w:val="21"/>
          <w:szCs w:val="21"/>
        </w:rPr>
        <w:t>人。博士生导师</w:t>
      </w:r>
      <w:r>
        <w:rPr>
          <w:rFonts w:eastAsia="宋体" w:cs="宋体" w:hint="eastAsia"/>
          <w:sz w:val="21"/>
          <w:szCs w:val="21"/>
        </w:rPr>
        <w:t>17</w:t>
      </w:r>
      <w:r>
        <w:rPr>
          <w:rFonts w:ascii="宋体" w:hAnsi="宋体" w:cs="宋体" w:hint="eastAsia"/>
          <w:sz w:val="21"/>
          <w:szCs w:val="21"/>
        </w:rPr>
        <w:t>人，硕士生导师</w:t>
      </w:r>
      <w:r>
        <w:rPr>
          <w:rFonts w:eastAsia="宋体" w:cs="宋体" w:hint="eastAsia"/>
          <w:sz w:val="21"/>
          <w:szCs w:val="21"/>
        </w:rPr>
        <w:t>34</w:t>
      </w:r>
      <w:r>
        <w:rPr>
          <w:rFonts w:ascii="宋体" w:hAnsi="宋体" w:cs="宋体" w:hint="eastAsia"/>
          <w:sz w:val="21"/>
          <w:szCs w:val="21"/>
        </w:rPr>
        <w:t>人。现任教师中，入选国家级人才计划</w:t>
      </w:r>
      <w:r>
        <w:rPr>
          <w:rFonts w:eastAsia="宋体" w:cs="宋体" w:hint="eastAsia"/>
          <w:sz w:val="21"/>
          <w:szCs w:val="21"/>
        </w:rPr>
        <w:t>7</w:t>
      </w:r>
      <w:r>
        <w:rPr>
          <w:rFonts w:ascii="宋体" w:hAnsi="宋体" w:cs="宋体" w:hint="eastAsia"/>
          <w:sz w:val="21"/>
          <w:szCs w:val="21"/>
        </w:rPr>
        <w:t>人，</w:t>
      </w:r>
      <w:r>
        <w:rPr>
          <w:rFonts w:eastAsia="宋体" w:cs="宋体" w:hint="eastAsia"/>
          <w:sz w:val="21"/>
          <w:szCs w:val="21"/>
        </w:rPr>
        <w:t>4</w:t>
      </w:r>
      <w:r>
        <w:rPr>
          <w:rFonts w:ascii="宋体" w:hAnsi="宋体" w:cs="宋体" w:hint="eastAsia"/>
          <w:sz w:val="21"/>
          <w:szCs w:val="21"/>
        </w:rPr>
        <w:t>人获得“宝钢优秀教师奖”，</w:t>
      </w:r>
      <w:r>
        <w:rPr>
          <w:rFonts w:eastAsia="宋体" w:cs="宋体" w:hint="eastAsia"/>
          <w:sz w:val="21"/>
          <w:szCs w:val="21"/>
        </w:rPr>
        <w:t>1</w:t>
      </w:r>
      <w:r>
        <w:rPr>
          <w:rFonts w:ascii="宋体" w:hAnsi="宋体" w:cs="宋体" w:hint="eastAsia"/>
          <w:sz w:val="21"/>
          <w:szCs w:val="21"/>
        </w:rPr>
        <w:t>人获得北京市优秀教师称号，</w:t>
      </w:r>
      <w:r>
        <w:rPr>
          <w:rFonts w:eastAsia="宋体" w:cs="宋体" w:hint="eastAsia"/>
          <w:sz w:val="21"/>
          <w:szCs w:val="21"/>
        </w:rPr>
        <w:t>1</w:t>
      </w:r>
      <w:r>
        <w:rPr>
          <w:rFonts w:ascii="宋体" w:hAnsi="宋体" w:cs="宋体" w:hint="eastAsia"/>
          <w:sz w:val="21"/>
          <w:szCs w:val="21"/>
        </w:rPr>
        <w:t>人获得北京市教学名师奖，</w:t>
      </w:r>
      <w:r>
        <w:rPr>
          <w:rFonts w:eastAsia="宋体" w:cs="宋体" w:hint="eastAsia"/>
          <w:sz w:val="21"/>
          <w:szCs w:val="21"/>
        </w:rPr>
        <w:t>1</w:t>
      </w:r>
      <w:r>
        <w:rPr>
          <w:rFonts w:ascii="宋体" w:hAnsi="宋体" w:cs="宋体" w:hint="eastAsia"/>
          <w:sz w:val="21"/>
          <w:szCs w:val="21"/>
        </w:rPr>
        <w:t>人获得吴玉章优秀教学奖。经多年的实践与探索，兼收中外先进管理思想，现已形成独具一格、开放融合的优秀人才培养体系和开放务实的教育理念。我们将以现代概率统计、现代管理思想和现代大数据理论为基础，培养理论研究扎实、实际应用能力突出的高端人才。</w:t>
      </w:r>
    </w:p>
    <w:p>
      <w:pPr>
        <w:pStyle w:val="Style18"/>
        <w:keepNext w:val="false"/>
        <w:keepLines w:val="false"/>
        <w:pageBreakBefore w:val="false"/>
        <w:widowControl/>
        <w:suppressLineNumbers w:val="0"/>
        <w:kinsoku w:val="true"/>
        <w:overflowPunct w:val="true"/>
        <w:autoSpaceDE w:val="true"/>
        <w:bidi w:val="0"/>
        <w:snapToGrid w:val="false"/>
        <w:spacing w:lineRule="exact" w:line="500" w:before="0" w:after="0"/>
        <w:ind w:firstLine="567" w:end="0"/>
        <w:textAlignment w:val="auto"/>
        <w:rPr>
          <w:rFonts w:ascii="宋体" w:hAnsi="宋体" w:eastAsia="宋体" w:cs="宋体" w:hint="eastAsia"/>
          <w:sz w:val="21"/>
          <w:szCs w:val="21"/>
        </w:rPr>
      </w:pPr>
      <w:r>
        <w:rPr>
          <w:rFonts w:ascii="宋体" w:hAnsi="宋体" w:cs="宋体" w:hint="eastAsia"/>
          <w:sz w:val="21"/>
          <w:szCs w:val="21"/>
        </w:rPr>
        <w:t>数学学院突出的专业优势如下：</w:t>
      </w:r>
    </w:p>
    <w:p>
      <w:pPr>
        <w:pStyle w:val="Style18"/>
        <w:keepNext w:val="false"/>
        <w:keepLines w:val="false"/>
        <w:pageBreakBefore w:val="false"/>
        <w:widowControl/>
        <w:suppressLineNumbers w:val="0"/>
        <w:kinsoku w:val="true"/>
        <w:overflowPunct w:val="true"/>
        <w:autoSpaceDE w:val="true"/>
        <w:bidi w:val="0"/>
        <w:snapToGrid w:val="false"/>
        <w:spacing w:lineRule="exact" w:line="500" w:before="0" w:after="0"/>
        <w:ind w:firstLine="567" w:end="0"/>
        <w:textAlignment w:val="auto"/>
        <w:rPr>
          <w:rFonts w:ascii="宋体" w:hAnsi="宋体" w:eastAsia="宋体" w:cs="宋体" w:hint="eastAsia"/>
          <w:sz w:val="21"/>
          <w:szCs w:val="21"/>
        </w:rPr>
      </w:pPr>
      <w:r>
        <w:rPr>
          <w:rFonts w:ascii="宋体" w:hAnsi="宋体" w:cs="宋体" w:hint="eastAsia"/>
          <w:sz w:val="21"/>
          <w:szCs w:val="21"/>
        </w:rPr>
        <w:t>拥有一级学科硕士点，下设</w:t>
      </w:r>
      <w:r>
        <w:rPr>
          <w:rFonts w:eastAsia="宋体" w:cs="宋体" w:hint="eastAsia"/>
          <w:sz w:val="21"/>
          <w:szCs w:val="21"/>
        </w:rPr>
        <w:t>5</w:t>
      </w:r>
      <w:r>
        <w:rPr>
          <w:rFonts w:ascii="宋体" w:hAnsi="宋体" w:cs="宋体" w:hint="eastAsia"/>
          <w:sz w:val="21"/>
          <w:szCs w:val="21"/>
        </w:rPr>
        <w:t>个二级学科硕士点：基础数学、应用数学、计算数学、概率论与数理统计、运筹学与控制论。</w:t>
      </w:r>
    </w:p>
    <w:p>
      <w:pPr>
        <w:pStyle w:val="Style18"/>
        <w:keepNext w:val="false"/>
        <w:keepLines w:val="false"/>
        <w:pageBreakBefore w:val="false"/>
        <w:widowControl/>
        <w:suppressLineNumbers w:val="0"/>
        <w:kinsoku w:val="true"/>
        <w:overflowPunct w:val="true"/>
        <w:autoSpaceDE w:val="true"/>
        <w:bidi w:val="0"/>
        <w:snapToGrid w:val="false"/>
        <w:spacing w:lineRule="exact" w:line="500" w:before="0" w:after="0"/>
        <w:ind w:firstLine="567" w:end="0"/>
        <w:textAlignment w:val="auto"/>
        <w:rPr>
          <w:rFonts w:ascii="宋体" w:hAnsi="宋体" w:eastAsia="宋体" w:cs="宋体" w:hint="eastAsia"/>
          <w:sz w:val="21"/>
          <w:szCs w:val="21"/>
        </w:rPr>
      </w:pPr>
      <w:r>
        <w:rPr>
          <w:rFonts w:ascii="宋体" w:hAnsi="宋体" w:cs="宋体" w:hint="eastAsia"/>
          <w:sz w:val="21"/>
          <w:szCs w:val="21"/>
        </w:rPr>
        <w:t>拥有一级学科博士点，下设</w:t>
      </w:r>
      <w:r>
        <w:rPr>
          <w:rFonts w:eastAsia="宋体" w:cs="宋体" w:hint="eastAsia"/>
          <w:sz w:val="21"/>
          <w:szCs w:val="21"/>
        </w:rPr>
        <w:t>3</w:t>
      </w:r>
      <w:r>
        <w:rPr>
          <w:rFonts w:ascii="宋体" w:hAnsi="宋体" w:cs="宋体" w:hint="eastAsia"/>
          <w:sz w:val="21"/>
          <w:szCs w:val="21"/>
        </w:rPr>
        <w:t>个二级学科博士点：基础数学、应用数学、概率论与数理统计。</w:t>
      </w:r>
    </w:p>
    <w:p>
      <w:pPr>
        <w:pStyle w:val="Style18"/>
        <w:keepNext w:val="false"/>
        <w:keepLines w:val="false"/>
        <w:pageBreakBefore w:val="false"/>
        <w:widowControl/>
        <w:suppressLineNumbers w:val="0"/>
        <w:kinsoku w:val="true"/>
        <w:overflowPunct w:val="true"/>
        <w:autoSpaceDE w:val="true"/>
        <w:bidi w:val="0"/>
        <w:snapToGrid w:val="false"/>
        <w:spacing w:lineRule="exact" w:line="500" w:before="0" w:after="0"/>
        <w:ind w:firstLine="567" w:end="0"/>
        <w:textAlignment w:val="auto"/>
        <w:rPr>
          <w:rFonts w:ascii="宋体" w:hAnsi="宋体" w:eastAsia="宋体" w:cs="宋体" w:hint="eastAsia"/>
          <w:sz w:val="21"/>
          <w:szCs w:val="21"/>
        </w:rPr>
      </w:pPr>
      <w:r>
        <w:rPr>
          <w:rFonts w:eastAsia="宋体" w:cs="宋体" w:hint="eastAsia"/>
          <w:sz w:val="21"/>
          <w:szCs w:val="21"/>
        </w:rPr>
        <w:t>2019</w:t>
      </w:r>
      <w:r>
        <w:rPr>
          <w:rFonts w:ascii="宋体" w:hAnsi="宋体" w:cs="宋体" w:hint="eastAsia"/>
          <w:sz w:val="21"/>
          <w:szCs w:val="21"/>
        </w:rPr>
        <w:t>年</w:t>
      </w:r>
      <w:r>
        <w:rPr>
          <w:rFonts w:eastAsia="宋体" w:cs="宋体" w:hint="eastAsia"/>
          <w:sz w:val="21"/>
          <w:szCs w:val="21"/>
        </w:rPr>
        <w:t>10</w:t>
      </w:r>
      <w:r>
        <w:rPr>
          <w:rFonts w:ascii="宋体" w:hAnsi="宋体" w:cs="宋体" w:hint="eastAsia"/>
          <w:sz w:val="21"/>
          <w:szCs w:val="21"/>
        </w:rPr>
        <w:t>月，由国家人力资源和社会保障部、全国博士后管委会正式发文批准我院新设数学博士后流动站。</w:t>
      </w:r>
    </w:p>
    <w:p>
      <w:pPr>
        <w:pStyle w:val="Style18"/>
        <w:keepNext w:val="false"/>
        <w:keepLines w:val="false"/>
        <w:pageBreakBefore w:val="false"/>
        <w:widowControl/>
        <w:suppressLineNumbers w:val="0"/>
        <w:kinsoku w:val="true"/>
        <w:overflowPunct w:val="true"/>
        <w:autoSpaceDE w:val="true"/>
        <w:bidi w:val="0"/>
        <w:snapToGrid w:val="false"/>
        <w:spacing w:lineRule="exact" w:line="500" w:before="0" w:after="0"/>
        <w:ind w:firstLine="567" w:end="0"/>
        <w:textAlignment w:val="auto"/>
        <w:rPr>
          <w:rFonts w:ascii="宋体" w:hAnsi="宋体" w:eastAsia="宋体" w:cs="宋体" w:hint="eastAsia"/>
          <w:sz w:val="21"/>
          <w:szCs w:val="21"/>
        </w:rPr>
      </w:pPr>
      <w:r>
        <w:rPr>
          <w:rFonts w:eastAsia="宋体" w:cs="宋体" w:hint="eastAsia"/>
          <w:sz w:val="21"/>
          <w:szCs w:val="21"/>
        </w:rPr>
        <w:t>2019</w:t>
      </w:r>
      <w:r>
        <w:rPr>
          <w:rFonts w:ascii="宋体" w:hAnsi="宋体" w:cs="宋体" w:hint="eastAsia"/>
          <w:sz w:val="21"/>
          <w:szCs w:val="21"/>
        </w:rPr>
        <w:t>年</w:t>
      </w:r>
      <w:r>
        <w:rPr>
          <w:rFonts w:eastAsia="宋体" w:cs="宋体" w:hint="eastAsia"/>
          <w:sz w:val="21"/>
          <w:szCs w:val="21"/>
        </w:rPr>
        <w:t>11</w:t>
      </w:r>
      <w:r>
        <w:rPr>
          <w:rFonts w:ascii="宋体" w:hAnsi="宋体" w:cs="宋体" w:hint="eastAsia"/>
          <w:sz w:val="21"/>
          <w:szCs w:val="21"/>
        </w:rPr>
        <w:t>月，“金融计算与数字工程”项目获批教育部工程研究中心建设项目。</w:t>
      </w:r>
    </w:p>
    <w:p>
      <w:pPr>
        <w:pStyle w:val="Style18"/>
        <w:keepNext w:val="false"/>
        <w:keepLines w:val="false"/>
        <w:pageBreakBefore w:val="false"/>
        <w:widowControl/>
        <w:suppressLineNumbers w:val="0"/>
        <w:kinsoku w:val="true"/>
        <w:overflowPunct w:val="true"/>
        <w:autoSpaceDE w:val="true"/>
        <w:bidi w:val="0"/>
        <w:snapToGrid w:val="false"/>
        <w:spacing w:lineRule="exact" w:line="500" w:before="0" w:after="0"/>
        <w:ind w:firstLine="567" w:end="0"/>
        <w:textAlignment w:val="auto"/>
        <w:rPr>
          <w:rFonts w:ascii="宋体" w:hAnsi="宋体" w:eastAsia="宋体" w:cs="宋体" w:hint="eastAsia"/>
          <w:sz w:val="21"/>
          <w:szCs w:val="21"/>
        </w:rPr>
      </w:pPr>
      <w:r>
        <w:rPr>
          <w:rFonts w:eastAsia="宋体" w:cs="宋体" w:hint="eastAsia"/>
          <w:sz w:val="21"/>
          <w:szCs w:val="21"/>
        </w:rPr>
        <w:t>2019</w:t>
      </w:r>
      <w:r>
        <w:rPr>
          <w:rFonts w:ascii="宋体" w:hAnsi="宋体" w:cs="宋体" w:hint="eastAsia"/>
          <w:sz w:val="21"/>
          <w:szCs w:val="21"/>
        </w:rPr>
        <w:t>年</w:t>
      </w:r>
      <w:r>
        <w:rPr>
          <w:rFonts w:eastAsia="宋体" w:cs="宋体" w:hint="eastAsia"/>
          <w:sz w:val="21"/>
          <w:szCs w:val="21"/>
        </w:rPr>
        <w:t>12</w:t>
      </w:r>
      <w:r>
        <w:rPr>
          <w:rFonts w:ascii="宋体" w:hAnsi="宋体" w:cs="宋体" w:hint="eastAsia"/>
          <w:sz w:val="21"/>
          <w:szCs w:val="21"/>
        </w:rPr>
        <w:t>月，“数学与应用数学”本科专业入选国家级一流专业。</w:t>
      </w:r>
    </w:p>
    <w:p>
      <w:pPr>
        <w:pStyle w:val="Style18"/>
        <w:keepNext w:val="false"/>
        <w:keepLines w:val="false"/>
        <w:pageBreakBefore w:val="false"/>
        <w:widowControl/>
        <w:suppressLineNumbers w:val="0"/>
        <w:kinsoku w:val="true"/>
        <w:overflowPunct w:val="true"/>
        <w:autoSpaceDE w:val="true"/>
        <w:bidi w:val="0"/>
        <w:snapToGrid w:val="false"/>
        <w:spacing w:lineRule="exact" w:line="500" w:before="0" w:after="0"/>
        <w:ind w:firstLine="567" w:end="0"/>
        <w:textAlignment w:val="auto"/>
        <w:rPr>
          <w:rFonts w:ascii="宋体" w:hAnsi="宋体" w:eastAsia="宋体" w:cs="宋体" w:hint="eastAsia"/>
          <w:sz w:val="21"/>
          <w:szCs w:val="21"/>
        </w:rPr>
      </w:pPr>
      <w:r>
        <w:rPr>
          <w:rFonts w:ascii="宋体" w:hAnsi="宋体" w:cs="宋体" w:hint="eastAsia"/>
          <w:sz w:val="21"/>
          <w:szCs w:val="21"/>
        </w:rPr>
        <w:t>中国人民大学数学学院注重国内外合作交流。数学学院坚持不懈地开展与经济金融需求相结合的理论方法研究，培养了一大批高精尖应用数学人才。一方面积极组织高规格的学术报告，邀请国内外著名的专家、学者来本院访问与交流，特别是以院士讲座为主的“明德数学讲堂”现已成为人大讲座的金字招牌；另一方面鼓励教师参加国内外顶尖的学术会议、出国访问与合作。</w:t>
      </w:r>
    </w:p>
    <w:p>
      <w:pPr>
        <w:pStyle w:val="Style18"/>
        <w:keepNext w:val="false"/>
        <w:keepLines w:val="false"/>
        <w:pageBreakBefore w:val="false"/>
        <w:widowControl/>
        <w:suppressLineNumbers w:val="0"/>
        <w:kinsoku w:val="true"/>
        <w:overflowPunct w:val="true"/>
        <w:autoSpaceDE w:val="true"/>
        <w:bidi w:val="0"/>
        <w:snapToGrid w:val="false"/>
        <w:spacing w:lineRule="exact" w:line="500" w:before="0" w:after="0"/>
        <w:ind w:firstLine="567" w:end="0"/>
        <w:textAlignment w:val="auto"/>
        <w:rPr>
          <w:rFonts w:ascii="宋体" w:hAnsi="宋体" w:eastAsia="宋体" w:cs="宋体" w:hint="eastAsia"/>
          <w:sz w:val="21"/>
          <w:szCs w:val="21"/>
        </w:rPr>
      </w:pPr>
      <w:r>
        <w:rPr>
          <w:rFonts w:ascii="宋体" w:hAnsi="宋体" w:cs="宋体" w:hint="eastAsia"/>
          <w:sz w:val="21"/>
          <w:szCs w:val="21"/>
        </w:rPr>
        <w:t>数学学院注重数学与应用的结合。数学学院创立了中国第一批三个数量经济学硕士点之一，身先国家经济管理数学的教学与科研工作，同时具有信息技术的长期交叉背景。我们强调综合运用数学对实际中的不确定性问题的建模和分析能力，强调现代管理思想与大数据理论的渗透，突出在经济、金融与管理中的应用特色。</w:t>
      </w:r>
    </w:p>
    <w:p>
      <w:pPr>
        <w:pStyle w:val="Style18"/>
        <w:spacing w:lineRule="exact" w:line="500" w:before="100" w:after="100"/>
        <w:contextualSpacing/>
        <w:rPr>
          <w:sz w:val="21"/>
          <w:szCs w:val="21"/>
        </w:rPr>
      </w:pPr>
      <w:r>
        <w:rPr>
          <w:rFonts w:eastAsia="宋体" w:cs="宋体" w:hint="eastAsia"/>
          <w:sz w:val="21"/>
          <w:szCs w:val="21"/>
        </w:rPr>
      </w:r>
    </w:p>
    <w:p>
      <w:pPr>
        <w:pStyle w:val="Style18"/>
        <w:numPr>
          <w:ilvl w:val="0"/>
          <w:numId w:val="3"/>
        </w:numPr>
        <w:spacing w:lineRule="exact" w:line="500" w:before="100" w:after="280"/>
        <w:rPr>
          <w:rFonts w:hint="eastAsia"/>
          <w:b/>
          <w:color w:val="C00000"/>
          <w:sz w:val="21"/>
          <w:szCs w:val="21"/>
        </w:rPr>
      </w:pPr>
      <w:r>
        <w:rPr>
          <w:rFonts w:hint="eastAsia"/>
          <w:b/>
          <w:color w:val="C00000"/>
          <w:sz w:val="21"/>
          <w:szCs w:val="21"/>
        </w:rPr>
        <w:t>课程安排</w:t>
      </w:r>
    </w:p>
    <w:tbl>
      <w:tblPr>
        <w:tblW w:w="8604" w:type="dxa"/>
        <w:jc w:val="start"/>
        <w:tblInd w:w="0" w:type="dxa"/>
        <w:tblLayout w:type="fixed"/>
        <w:tblCellMar>
          <w:top w:w="0" w:type="dxa"/>
          <w:start w:w="108" w:type="dxa"/>
          <w:bottom w:w="0" w:type="dxa"/>
          <w:end w:w="108" w:type="dxa"/>
        </w:tblCellMar>
      </w:tblPr>
      <w:tblGrid>
        <w:gridCol w:w="1978"/>
        <w:gridCol w:w="3626"/>
        <w:gridCol w:w="3000"/>
      </w:tblGrid>
      <w:tr>
        <w:trPr>
          <w:trHeight w:val="695" w:hRule="atLeast"/>
        </w:trPr>
        <w:tc>
          <w:tcPr>
            <w:tcW w:w="8604" w:type="dxa"/>
            <w:gridSpan w:val="3"/>
            <w:tcBorders>
              <w:top w:val="single" w:sz="4" w:space="0" w:color="000000"/>
              <w:start w:val="single" w:sz="4" w:space="0" w:color="000000"/>
              <w:bottom w:val="single" w:sz="4" w:space="0" w:color="000000"/>
              <w:end w:val="single" w:sz="4" w:space="0" w:color="000000"/>
            </w:tcBorders>
          </w:tcPr>
          <w:p>
            <w:pPr>
              <w:pStyle w:val="Heading6"/>
              <w:widowControl/>
              <w:tabs>
                <w:tab w:val="clear" w:pos="420"/>
                <w:tab w:val="left" w:pos="3366" w:leader="none"/>
              </w:tabs>
              <w:spacing w:before="225" w:after="75"/>
              <w:ind w:hanging="0" w:start="0"/>
              <w:rPr>
                <w:rFonts w:cs="微软雅黑"/>
                <w:b w:val="false"/>
                <w:color w:val="000000"/>
                <w:sz w:val="21"/>
                <w:szCs w:val="21"/>
                <w:lang w:bidi="ar"/>
              </w:rPr>
            </w:pPr>
            <w:r>
              <w:rPr>
                <w:rFonts w:cs="微软雅黑" w:hint="eastAsia"/>
                <w:b w:val="false"/>
                <w:color w:val="000000"/>
                <w:sz w:val="21"/>
                <w:szCs w:val="21"/>
                <w:lang w:bidi="ar"/>
              </w:rPr>
              <w:tab/>
            </w:r>
            <w:r>
              <w:rPr>
                <w:rFonts w:cs="微软雅黑" w:hint="eastAsia"/>
                <w:b/>
                <w:bCs/>
                <w:color w:val="000000"/>
                <w:sz w:val="21"/>
                <w:szCs w:val="21"/>
                <w:lang w:bidi="ar"/>
              </w:rPr>
              <w:t>计算数学专业课程</w:t>
            </w:r>
          </w:p>
        </w:tc>
      </w:tr>
      <w:tr>
        <w:trPr>
          <w:trHeight w:val="580" w:hRule="atLeast"/>
        </w:trPr>
        <w:tc>
          <w:tcPr>
            <w:tcW w:w="1978" w:type="dxa"/>
            <w:vMerge w:val="restart"/>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b/>
                <w:bCs/>
                <w:color w:val="000000"/>
                <w:sz w:val="21"/>
                <w:szCs w:val="21"/>
                <w:lang w:bidi="ar"/>
              </w:rPr>
            </w:pPr>
            <w:r>
              <w:rPr>
                <w:rFonts w:cs="微软雅黑" w:hint="eastAsia"/>
                <w:b/>
                <w:bCs/>
                <w:color w:val="000000"/>
                <w:sz w:val="21"/>
                <w:szCs w:val="21"/>
                <w:lang w:bidi="ar"/>
              </w:rPr>
              <w:t>公共课</w:t>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ascii="宋体" w:hAnsi="宋体" w:eastAsia="宋体" w:cs="宋体"/>
                <w:b w:val="false"/>
                <w:kern w:val="0"/>
                <w:sz w:val="21"/>
                <w:szCs w:val="21"/>
              </w:rPr>
            </w:pPr>
            <w:r>
              <w:rPr>
                <w:rFonts w:ascii="宋体" w:hAnsi="宋体" w:cs="宋体"/>
                <w:b w:val="false"/>
                <w:kern w:val="0"/>
                <w:sz w:val="21"/>
                <w:szCs w:val="21"/>
              </w:rPr>
              <w:t>新时代中国特色社会主义理论与实践</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hint="eastAsia"/>
                <w:b w:val="false"/>
                <w:color w:val="000000"/>
                <w:sz w:val="21"/>
                <w:szCs w:val="21"/>
                <w:lang w:bidi="ar"/>
              </w:rPr>
              <w:t>语言基础</w:t>
            </w:r>
          </w:p>
        </w:tc>
      </w:tr>
      <w:tr>
        <w:trPr>
          <w:trHeight w:val="412" w:hRule="atLeast"/>
        </w:trPr>
        <w:tc>
          <w:tcPr>
            <w:tcW w:w="1978"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jc w:val="center"/>
              <w:rPr>
                <w:rFonts w:cs="微软雅黑" w:hint="eastAsia"/>
                <w:b/>
                <w:bCs/>
                <w:color w:val="000000"/>
                <w:sz w:val="21"/>
                <w:szCs w:val="21"/>
                <w:lang w:bidi="ar"/>
              </w:rPr>
            </w:pPr>
            <w:r>
              <w:rPr>
                <w:rFonts w:cs="微软雅黑" w:hint="eastAsia"/>
                <w:b/>
                <w:bCs/>
                <w:color w:val="000000"/>
                <w:sz w:val="21"/>
                <w:szCs w:val="21"/>
                <w:lang w:bidi="ar"/>
              </w:rPr>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b w:val="false"/>
                <w:color w:val="000000"/>
                <w:sz w:val="21"/>
                <w:szCs w:val="21"/>
                <w:lang w:bidi="ar"/>
              </w:rPr>
              <w:t>自然辩证法</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b w:val="false"/>
                <w:color w:val="000000"/>
                <w:sz w:val="21"/>
                <w:szCs w:val="21"/>
                <w:lang w:bidi="ar"/>
              </w:rPr>
              <w:t>学术规范和论文小写作</w:t>
            </w:r>
          </w:p>
        </w:tc>
      </w:tr>
      <w:tr>
        <w:trPr>
          <w:trHeight w:val="637" w:hRule="atLeast"/>
        </w:trPr>
        <w:tc>
          <w:tcPr>
            <w:tcW w:w="1978" w:type="dxa"/>
            <w:vMerge w:val="restart"/>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b/>
                <w:bCs/>
                <w:color w:val="000000"/>
                <w:sz w:val="21"/>
                <w:szCs w:val="21"/>
                <w:lang w:bidi="ar"/>
              </w:rPr>
            </w:pPr>
            <w:r>
              <w:rPr>
                <w:rFonts w:cs="微软雅黑" w:hint="eastAsia"/>
                <w:b/>
                <w:bCs/>
                <w:color w:val="000000"/>
                <w:sz w:val="21"/>
                <w:szCs w:val="21"/>
                <w:lang w:bidi="ar"/>
              </w:rPr>
              <w:t>专业课</w:t>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eastAsia="宋体" w:cs="微软雅黑"/>
                <w:b w:val="false"/>
                <w:color w:val="000000"/>
                <w:sz w:val="21"/>
                <w:szCs w:val="21"/>
                <w:lang w:bidi="ar"/>
              </w:rPr>
            </w:pPr>
            <w:r>
              <w:rPr>
                <w:rFonts w:cs="微软雅黑"/>
                <w:b w:val="false"/>
                <w:color w:val="000000"/>
                <w:sz w:val="21"/>
                <w:szCs w:val="21"/>
                <w:lang w:bidi="ar"/>
              </w:rPr>
              <w:t>数值分析</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eastAsia="宋体" w:cs="微软雅黑"/>
                <w:b w:val="false"/>
                <w:color w:val="000000"/>
                <w:sz w:val="21"/>
                <w:szCs w:val="21"/>
                <w:lang w:bidi="ar"/>
              </w:rPr>
            </w:pPr>
            <w:r>
              <w:rPr>
                <w:rFonts w:cs="微软雅黑"/>
                <w:b w:val="false"/>
                <w:color w:val="000000"/>
                <w:sz w:val="21"/>
                <w:szCs w:val="21"/>
                <w:lang w:bidi="ar"/>
              </w:rPr>
              <w:t>高等数理统计</w:t>
            </w:r>
          </w:p>
        </w:tc>
      </w:tr>
      <w:tr>
        <w:trPr>
          <w:trHeight w:val="707" w:hRule="atLeast"/>
        </w:trPr>
        <w:tc>
          <w:tcPr>
            <w:tcW w:w="1978"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jc w:val="center"/>
              <w:rPr>
                <w:rFonts w:cs="微软雅黑" w:hint="eastAsia"/>
                <w:b/>
                <w:bCs/>
                <w:color w:val="000000"/>
                <w:sz w:val="21"/>
                <w:szCs w:val="21"/>
                <w:lang w:bidi="ar"/>
              </w:rPr>
            </w:pPr>
            <w:r>
              <w:rPr>
                <w:rFonts w:eastAsia="宋体" w:cs="微软雅黑" w:hint="eastAsia"/>
                <w:b/>
                <w:bCs/>
                <w:color w:val="000000"/>
                <w:sz w:val="21"/>
                <w:szCs w:val="21"/>
                <w:lang w:bidi="ar"/>
              </w:rPr>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eastAsia="宋体" w:cs="微软雅黑"/>
                <w:b w:val="false"/>
                <w:color w:val="000000"/>
                <w:sz w:val="21"/>
                <w:szCs w:val="21"/>
                <w:lang w:bidi="ar"/>
              </w:rPr>
            </w:pPr>
            <w:r>
              <w:rPr>
                <w:rFonts w:cs="微软雅黑"/>
                <w:b w:val="false"/>
                <w:color w:val="000000"/>
                <w:sz w:val="21"/>
                <w:szCs w:val="21"/>
                <w:lang w:bidi="ar"/>
              </w:rPr>
              <w:t>金融经济中的计算方法</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eastAsia="宋体" w:cs="微软雅黑"/>
                <w:b w:val="false"/>
                <w:color w:val="000000"/>
                <w:sz w:val="21"/>
                <w:szCs w:val="21"/>
                <w:lang w:bidi="ar"/>
              </w:rPr>
            </w:pPr>
            <w:r>
              <w:rPr>
                <w:rFonts w:cs="微软雅黑"/>
                <w:b w:val="false"/>
                <w:color w:val="000000"/>
                <w:sz w:val="21"/>
                <w:szCs w:val="21"/>
                <w:lang w:bidi="ar"/>
              </w:rPr>
              <w:t>数学软件</w:t>
            </w:r>
          </w:p>
        </w:tc>
      </w:tr>
      <w:tr>
        <w:trPr>
          <w:trHeight w:val="592" w:hRule="atLeast"/>
        </w:trPr>
        <w:tc>
          <w:tcPr>
            <w:tcW w:w="1978"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jc w:val="center"/>
              <w:rPr>
                <w:rFonts w:cs="微软雅黑"/>
                <w:b/>
                <w:bCs/>
                <w:color w:val="000000"/>
                <w:sz w:val="21"/>
                <w:szCs w:val="21"/>
                <w:lang w:bidi="ar"/>
              </w:rPr>
            </w:pPr>
            <w:r>
              <w:rPr>
                <w:rFonts w:eastAsia="宋体" w:cs="微软雅黑"/>
                <w:b/>
                <w:bCs/>
                <w:color w:val="000000"/>
                <w:sz w:val="21"/>
                <w:szCs w:val="21"/>
                <w:lang w:bidi="ar"/>
              </w:rPr>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eastAsia="宋体" w:cs="微软雅黑"/>
                <w:b w:val="false"/>
                <w:color w:val="000000"/>
                <w:sz w:val="21"/>
                <w:szCs w:val="21"/>
                <w:lang w:bidi="ar"/>
              </w:rPr>
            </w:pPr>
            <w:r>
              <w:rPr>
                <w:rFonts w:cs="微软雅黑"/>
                <w:b w:val="false"/>
                <w:color w:val="000000"/>
                <w:sz w:val="21"/>
                <w:szCs w:val="21"/>
                <w:lang w:bidi="ar"/>
              </w:rPr>
              <w:t>数值优化</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eastAsia="宋体" w:cs="微软雅黑"/>
                <w:b w:val="false"/>
                <w:color w:val="000000"/>
                <w:sz w:val="21"/>
                <w:szCs w:val="21"/>
                <w:lang w:bidi="ar"/>
              </w:rPr>
            </w:pPr>
            <w:r>
              <w:rPr>
                <w:rFonts w:cs="微软雅黑"/>
                <w:b w:val="false"/>
                <w:color w:val="000000"/>
                <w:sz w:val="21"/>
                <w:szCs w:val="21"/>
                <w:lang w:bidi="ar"/>
              </w:rPr>
              <w:t>数值迭代方法</w:t>
            </w:r>
          </w:p>
        </w:tc>
      </w:tr>
      <w:tr>
        <w:trPr>
          <w:trHeight w:val="517" w:hRule="atLeast"/>
        </w:trPr>
        <w:tc>
          <w:tcPr>
            <w:tcW w:w="1978"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jc w:val="center"/>
              <w:rPr>
                <w:rFonts w:cs="微软雅黑" w:hint="eastAsia"/>
                <w:b/>
                <w:bCs/>
                <w:color w:val="000000"/>
                <w:sz w:val="21"/>
                <w:szCs w:val="21"/>
                <w:lang w:bidi="ar"/>
              </w:rPr>
            </w:pPr>
            <w:r>
              <w:rPr>
                <w:rFonts w:eastAsia="宋体" w:cs="微软雅黑" w:hint="eastAsia"/>
                <w:b/>
                <w:bCs/>
                <w:color w:val="000000"/>
                <w:sz w:val="21"/>
                <w:szCs w:val="21"/>
                <w:lang w:bidi="ar"/>
              </w:rPr>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eastAsia="宋体" w:cs="微软雅黑"/>
                <w:b w:val="false"/>
                <w:color w:val="000000"/>
                <w:sz w:val="21"/>
                <w:szCs w:val="21"/>
                <w:lang w:bidi="ar"/>
              </w:rPr>
            </w:pPr>
            <w:r>
              <w:rPr>
                <w:rFonts w:cs="微软雅黑"/>
                <w:b w:val="false"/>
                <w:color w:val="000000"/>
                <w:sz w:val="21"/>
                <w:szCs w:val="21"/>
                <w:lang w:bidi="ar"/>
              </w:rPr>
              <w:t>大数据与机器学习</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eastAsia="宋体" w:cs="微软雅黑"/>
                <w:b w:val="false"/>
                <w:color w:val="000000"/>
                <w:sz w:val="21"/>
                <w:szCs w:val="21"/>
                <w:lang w:bidi="ar"/>
              </w:rPr>
            </w:pPr>
            <w:r>
              <w:rPr>
                <w:rFonts w:cs="微软雅黑"/>
                <w:b w:val="false"/>
                <w:color w:val="000000"/>
                <w:sz w:val="21"/>
                <w:szCs w:val="21"/>
                <w:lang w:bidi="ar"/>
              </w:rPr>
              <w:t>微分方程数值解</w:t>
            </w:r>
          </w:p>
        </w:tc>
      </w:tr>
      <w:tr>
        <w:trPr>
          <w:trHeight w:val="532" w:hRule="atLeast"/>
        </w:trPr>
        <w:tc>
          <w:tcPr>
            <w:tcW w:w="1978"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jc w:val="center"/>
              <w:rPr>
                <w:rFonts w:cs="微软雅黑" w:hint="eastAsia"/>
                <w:b/>
                <w:bCs/>
                <w:color w:val="000000"/>
                <w:sz w:val="21"/>
                <w:szCs w:val="21"/>
                <w:lang w:bidi="ar"/>
              </w:rPr>
            </w:pPr>
            <w:r>
              <w:rPr>
                <w:rFonts w:eastAsia="宋体" w:cs="微软雅黑" w:hint="eastAsia"/>
                <w:b/>
                <w:bCs/>
                <w:color w:val="000000"/>
                <w:sz w:val="21"/>
                <w:szCs w:val="21"/>
                <w:lang w:bidi="ar"/>
              </w:rPr>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eastAsia="宋体" w:cs="微软雅黑"/>
                <w:b w:val="false"/>
                <w:color w:val="000000"/>
                <w:sz w:val="21"/>
                <w:szCs w:val="21"/>
                <w:lang w:bidi="ar"/>
              </w:rPr>
            </w:pPr>
            <w:r>
              <w:rPr>
                <w:rFonts w:cs="微软雅黑"/>
                <w:b w:val="false"/>
                <w:color w:val="000000"/>
                <w:sz w:val="21"/>
                <w:szCs w:val="21"/>
                <w:lang w:bidi="ar"/>
              </w:rPr>
              <w:t>最优化理论及其计算方法</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eastAsia="宋体" w:cs="微软雅黑"/>
                <w:b w:val="false"/>
                <w:color w:val="000000"/>
                <w:sz w:val="21"/>
                <w:szCs w:val="21"/>
                <w:lang w:bidi="ar"/>
              </w:rPr>
            </w:pPr>
            <w:r>
              <w:rPr>
                <w:rFonts w:cs="微软雅黑"/>
                <w:b w:val="false"/>
                <w:color w:val="000000"/>
                <w:sz w:val="21"/>
                <w:szCs w:val="21"/>
                <w:lang w:bidi="ar"/>
              </w:rPr>
              <w:t>组合优化与算法设计</w:t>
            </w:r>
          </w:p>
        </w:tc>
      </w:tr>
      <w:tr>
        <w:trPr>
          <w:trHeight w:val="617" w:hRule="atLeast"/>
        </w:trPr>
        <w:tc>
          <w:tcPr>
            <w:tcW w:w="1978"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jc w:val="both"/>
              <w:rPr>
                <w:rFonts w:cs="微软雅黑"/>
                <w:b/>
                <w:bCs/>
                <w:color w:val="000000"/>
                <w:sz w:val="21"/>
                <w:szCs w:val="21"/>
                <w:lang w:bidi="ar"/>
              </w:rPr>
            </w:pPr>
            <w:r>
              <w:rPr>
                <w:rFonts w:eastAsia="宋体" w:cs="微软雅黑"/>
                <w:b/>
                <w:bCs/>
                <w:color w:val="000000"/>
                <w:sz w:val="21"/>
                <w:szCs w:val="21"/>
                <w:lang w:bidi="ar"/>
              </w:rPr>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eastAsia="宋体" w:cs="微软雅黑"/>
                <w:b w:val="false"/>
                <w:color w:val="000000"/>
                <w:sz w:val="21"/>
                <w:szCs w:val="21"/>
                <w:lang w:bidi="ar"/>
              </w:rPr>
            </w:pPr>
            <w:r>
              <w:rPr>
                <w:rFonts w:cs="微软雅黑"/>
                <w:b w:val="false"/>
                <w:color w:val="000000"/>
                <w:sz w:val="21"/>
                <w:szCs w:val="21"/>
                <w:lang w:bidi="ar"/>
              </w:rPr>
              <w:t>数量经济分析方法</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eastAsia="宋体" w:cs="微软雅黑"/>
                <w:b w:val="false"/>
                <w:color w:val="000000"/>
                <w:sz w:val="21"/>
                <w:szCs w:val="21"/>
                <w:lang w:bidi="ar"/>
              </w:rPr>
            </w:pPr>
            <w:r>
              <w:rPr>
                <w:rFonts w:cs="微软雅黑"/>
                <w:b w:val="false"/>
                <w:color w:val="000000"/>
                <w:sz w:val="21"/>
                <w:szCs w:val="21"/>
                <w:lang w:bidi="ar"/>
              </w:rPr>
              <w:t>随机计算</w:t>
            </w:r>
          </w:p>
        </w:tc>
      </w:tr>
      <w:tr>
        <w:trPr>
          <w:trHeight w:val="617" w:hRule="atLeast"/>
        </w:trPr>
        <w:tc>
          <w:tcPr>
            <w:tcW w:w="1978"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bCs/>
                <w:color w:val="000000"/>
                <w:sz w:val="21"/>
                <w:szCs w:val="21"/>
                <w:lang w:bidi="ar"/>
              </w:rPr>
            </w:pPr>
            <w:r>
              <w:rPr>
                <w:rFonts w:cs="微软雅黑" w:hint="eastAsia"/>
                <w:b/>
                <w:bCs/>
                <w:color w:val="000000"/>
                <w:sz w:val="21"/>
                <w:szCs w:val="21"/>
                <w:lang w:bidi="ar"/>
              </w:rPr>
              <w:t>选修课</w:t>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eastAsia="宋体" w:cs="微软雅黑"/>
                <w:b w:val="false"/>
                <w:color w:val="000000"/>
                <w:sz w:val="21"/>
                <w:szCs w:val="21"/>
                <w:lang w:bidi="ar"/>
              </w:rPr>
            </w:pPr>
            <w:r>
              <w:rPr>
                <w:rFonts w:cs="微软雅黑"/>
                <w:b w:val="false"/>
                <w:color w:val="000000"/>
                <w:sz w:val="21"/>
                <w:szCs w:val="21"/>
                <w:lang w:bidi="ar"/>
              </w:rPr>
              <w:t>金融数学模型</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eastAsia="宋体" w:cs="微软雅黑"/>
                <w:b w:val="false"/>
                <w:color w:val="000000"/>
                <w:sz w:val="21"/>
                <w:szCs w:val="21"/>
                <w:lang w:bidi="ar"/>
              </w:rPr>
            </w:pPr>
            <w:r>
              <w:rPr>
                <w:rFonts w:cs="微软雅黑"/>
                <w:b w:val="false"/>
                <w:color w:val="000000"/>
                <w:sz w:val="21"/>
                <w:szCs w:val="21"/>
                <w:lang w:bidi="ar"/>
              </w:rPr>
              <w:t>生物医学计算</w:t>
            </w:r>
          </w:p>
        </w:tc>
      </w:tr>
    </w:tbl>
    <w:p>
      <w:pPr>
        <w:pStyle w:val="Style18"/>
        <w:spacing w:lineRule="exact" w:line="500" w:before="100" w:after="100"/>
        <w:ind w:firstLineChars="200" w:startChars="0" w:start="0" w:endChars="0" w:end="0"/>
        <w:contextualSpacing/>
        <w:jc w:val="both"/>
        <w:rPr>
          <w:rFonts w:ascii="宋体" w:hAnsi="宋体" w:eastAsia="宋体" w:cs="宋体"/>
          <w:sz w:val="21"/>
          <w:szCs w:val="21"/>
        </w:rPr>
      </w:pPr>
      <w:r>
        <w:rPr>
          <w:rFonts w:ascii="宋体" w:hAnsi="宋体" w:cs="宋体"/>
          <w:sz w:val="21"/>
          <w:szCs w:val="21"/>
        </w:rPr>
        <w:t>注：本专业侧重在三个方向对学员进行培养：</w:t>
      </w:r>
      <w:r>
        <w:rPr>
          <w:rFonts w:eastAsia="宋体" w:cs="宋体"/>
          <w:sz w:val="21"/>
          <w:szCs w:val="21"/>
        </w:rPr>
        <w:t>1.</w:t>
      </w:r>
      <w:r>
        <w:rPr>
          <w:rFonts w:ascii="宋体" w:hAnsi="宋体" w:cs="宋体"/>
          <w:sz w:val="21"/>
          <w:szCs w:val="21"/>
        </w:rPr>
        <w:t>经济管理分析与应用方向；</w:t>
      </w:r>
      <w:r>
        <w:rPr>
          <w:rFonts w:eastAsia="宋体" w:cs="宋体"/>
          <w:sz w:val="21"/>
          <w:szCs w:val="21"/>
        </w:rPr>
        <w:t>2.</w:t>
      </w:r>
      <w:r>
        <w:rPr>
          <w:rFonts w:ascii="宋体" w:hAnsi="宋体" w:cs="宋体"/>
          <w:sz w:val="21"/>
          <w:szCs w:val="21"/>
        </w:rPr>
        <w:t>管理科学与分析决策方向；</w:t>
      </w:r>
      <w:r>
        <w:rPr>
          <w:rFonts w:eastAsia="宋体" w:cs="宋体"/>
          <w:sz w:val="21"/>
          <w:szCs w:val="21"/>
        </w:rPr>
        <w:t>3.</w:t>
      </w:r>
      <w:r>
        <w:rPr>
          <w:rFonts w:ascii="宋体" w:hAnsi="宋体" w:cs="宋体"/>
          <w:sz w:val="21"/>
          <w:szCs w:val="21"/>
        </w:rPr>
        <w:t>大数据应用与管理方向。每个方向会根据实际需要设置</w:t>
      </w:r>
      <w:r>
        <w:rPr>
          <w:rFonts w:eastAsia="宋体" w:cs="宋体"/>
          <w:sz w:val="21"/>
          <w:szCs w:val="21"/>
        </w:rPr>
        <w:t>2</w:t>
      </w:r>
      <w:r>
        <w:rPr>
          <w:rFonts w:ascii="宋体" w:hAnsi="宋体" w:cs="宋体"/>
          <w:sz w:val="21"/>
          <w:szCs w:val="21"/>
        </w:rPr>
        <w:t>门选修课程。</w:t>
      </w:r>
    </w:p>
    <w:p>
      <w:pPr>
        <w:pStyle w:val="Style18"/>
        <w:spacing w:lineRule="exact" w:line="500" w:before="100" w:after="100"/>
        <w:ind w:firstLineChars="200" w:startChars="0" w:start="0" w:endChars="0" w:end="0"/>
        <w:contextualSpacing/>
        <w:jc w:val="both"/>
        <w:rPr>
          <w:rFonts w:ascii="宋体" w:hAnsi="宋体" w:eastAsia="宋体" w:cs="宋体" w:hint="eastAsia"/>
          <w:sz w:val="21"/>
          <w:szCs w:val="21"/>
        </w:rPr>
      </w:pPr>
      <w:r>
        <w:rPr>
          <w:rFonts w:eastAsia="宋体" w:cs="宋体" w:hint="eastAsia"/>
          <w:sz w:val="21"/>
          <w:szCs w:val="21"/>
        </w:rPr>
      </w:r>
    </w:p>
    <w:p>
      <w:pPr>
        <w:pStyle w:val="Style18"/>
        <w:spacing w:lineRule="exact" w:line="500" w:before="100" w:after="100"/>
        <w:contextualSpacing/>
        <w:rPr>
          <w:b/>
          <w:color w:val="C00000"/>
          <w:sz w:val="21"/>
          <w:szCs w:val="21"/>
        </w:rPr>
      </w:pPr>
      <w:r>
        <w:rPr>
          <w:rFonts w:hint="eastAsia"/>
          <w:b/>
          <w:color w:val="C00000"/>
          <w:sz w:val="21"/>
          <w:szCs w:val="21"/>
        </w:rPr>
        <w:t>三</w:t>
      </w:r>
      <w:r>
        <w:rPr>
          <w:b/>
          <w:color w:val="C00000"/>
          <w:sz w:val="21"/>
          <w:szCs w:val="21"/>
        </w:rPr>
        <w:t>、教学办法</w:t>
      </w:r>
    </w:p>
    <w:p>
      <w:pPr>
        <w:pStyle w:val="Style18"/>
        <w:spacing w:lineRule="exact" w:line="500" w:before="100" w:after="100"/>
        <w:ind w:firstLine="420" w:end="0"/>
        <w:contextualSpacing/>
        <w:rPr>
          <w:sz w:val="21"/>
          <w:szCs w:val="21"/>
        </w:rPr>
      </w:pPr>
      <w:r>
        <w:rPr>
          <w:sz w:val="21"/>
          <w:szCs w:val="21"/>
        </w:rPr>
        <w:t>1</w:t>
      </w:r>
      <w:r>
        <w:rPr>
          <w:sz w:val="21"/>
          <w:szCs w:val="21"/>
        </w:rPr>
        <w:t>、采取线上线下相结合的方式。</w:t>
      </w:r>
    </w:p>
    <w:p>
      <w:pPr>
        <w:pStyle w:val="Style18"/>
        <w:spacing w:lineRule="exact" w:line="500" w:before="100" w:after="100"/>
        <w:ind w:firstLine="420" w:end="0"/>
        <w:contextualSpacing/>
        <w:rPr>
          <w:sz w:val="21"/>
          <w:szCs w:val="21"/>
        </w:rPr>
      </w:pPr>
      <w:r>
        <w:rPr>
          <w:sz w:val="21"/>
          <w:szCs w:val="21"/>
        </w:rPr>
        <w:t>2</w:t>
      </w:r>
      <w:r>
        <w:rPr>
          <w:sz w:val="21"/>
          <w:szCs w:val="21"/>
        </w:rPr>
        <w:t>、上课时间：周六、日上课，上课时间上午</w:t>
      </w:r>
      <w:r>
        <w:rPr>
          <w:sz w:val="21"/>
          <w:szCs w:val="21"/>
        </w:rPr>
        <w:t>9</w:t>
      </w:r>
      <w:r>
        <w:rPr>
          <w:sz w:val="21"/>
          <w:szCs w:val="21"/>
        </w:rPr>
        <w:t>点—下午</w:t>
      </w:r>
      <w:r>
        <w:rPr>
          <w:sz w:val="21"/>
          <w:szCs w:val="21"/>
        </w:rPr>
        <w:t>4</w:t>
      </w:r>
      <w:r>
        <w:rPr>
          <w:sz w:val="21"/>
          <w:szCs w:val="21"/>
        </w:rPr>
        <w:t>点。</w:t>
      </w:r>
    </w:p>
    <w:p>
      <w:pPr>
        <w:pStyle w:val="Style18"/>
        <w:spacing w:lineRule="exact" w:line="500" w:before="100" w:after="100"/>
        <w:ind w:firstLine="420" w:end="0"/>
        <w:contextualSpacing/>
        <w:rPr>
          <w:sz w:val="21"/>
          <w:szCs w:val="21"/>
        </w:rPr>
      </w:pPr>
      <w:r>
        <w:rPr>
          <w:sz w:val="21"/>
          <w:szCs w:val="21"/>
        </w:rPr>
      </w:r>
    </w:p>
    <w:p>
      <w:pPr>
        <w:pStyle w:val="Style18"/>
        <w:spacing w:lineRule="exact" w:line="500" w:before="100" w:after="100"/>
        <w:contextualSpacing/>
        <w:rPr>
          <w:b/>
          <w:color w:val="C00000"/>
          <w:sz w:val="21"/>
          <w:szCs w:val="21"/>
        </w:rPr>
      </w:pPr>
      <w:r>
        <w:rPr>
          <w:rFonts w:hint="eastAsia"/>
          <w:b/>
          <w:color w:val="C00000"/>
          <w:sz w:val="21"/>
          <w:szCs w:val="21"/>
        </w:rPr>
        <w:t>四</w:t>
      </w:r>
      <w:r>
        <w:rPr>
          <w:b/>
          <w:color w:val="C00000"/>
          <w:sz w:val="21"/>
          <w:szCs w:val="21"/>
        </w:rPr>
        <w:t>、学习期限</w:t>
      </w:r>
    </w:p>
    <w:p>
      <w:pPr>
        <w:pStyle w:val="Style18"/>
        <w:spacing w:lineRule="exact" w:line="500" w:before="100" w:after="100"/>
        <w:ind w:firstLine="420" w:end="0"/>
        <w:contextualSpacing/>
        <w:rPr>
          <w:sz w:val="21"/>
          <w:szCs w:val="21"/>
        </w:rPr>
      </w:pPr>
      <w:r>
        <w:rPr>
          <w:sz w:val="21"/>
          <w:szCs w:val="21"/>
        </w:rPr>
        <w:t>学习时间：</w:t>
      </w:r>
      <w:r>
        <w:rPr>
          <w:rFonts w:hint="eastAsia"/>
          <w:sz w:val="21"/>
          <w:szCs w:val="21"/>
        </w:rPr>
        <w:t>1.5</w:t>
      </w:r>
      <w:r>
        <w:rPr>
          <w:rFonts w:hint="eastAsia"/>
          <w:sz w:val="21"/>
          <w:szCs w:val="21"/>
        </w:rPr>
        <w:t>年</w:t>
      </w:r>
      <w:r>
        <w:rPr>
          <w:sz w:val="21"/>
          <w:szCs w:val="21"/>
        </w:rPr>
        <w:t>。自开班之日起算。</w:t>
      </w:r>
    </w:p>
    <w:p>
      <w:pPr>
        <w:pStyle w:val="Style18"/>
        <w:spacing w:lineRule="exact" w:line="500" w:before="100" w:after="100"/>
        <w:ind w:firstLine="420" w:end="0"/>
        <w:contextualSpacing/>
        <w:rPr>
          <w:sz w:val="21"/>
          <w:szCs w:val="21"/>
        </w:rPr>
      </w:pPr>
      <w:r>
        <w:rPr>
          <w:sz w:val="21"/>
          <w:szCs w:val="21"/>
        </w:rPr>
      </w:r>
    </w:p>
    <w:p>
      <w:pPr>
        <w:pStyle w:val="Style18"/>
        <w:spacing w:lineRule="exact" w:line="500" w:before="100" w:after="100"/>
        <w:contextualSpacing/>
        <w:rPr>
          <w:b/>
          <w:color w:val="C00000"/>
          <w:sz w:val="21"/>
          <w:szCs w:val="21"/>
        </w:rPr>
      </w:pPr>
      <w:r>
        <w:rPr>
          <w:rFonts w:hint="eastAsia"/>
          <w:b/>
          <w:color w:val="C00000"/>
          <w:sz w:val="21"/>
          <w:szCs w:val="21"/>
        </w:rPr>
        <w:t>五</w:t>
      </w:r>
      <w:r>
        <w:rPr>
          <w:b/>
          <w:color w:val="C00000"/>
          <w:sz w:val="21"/>
          <w:szCs w:val="21"/>
        </w:rPr>
        <w:t>、报名条件及报名手续</w:t>
      </w:r>
    </w:p>
    <w:p>
      <w:pPr>
        <w:pStyle w:val="Style18"/>
        <w:spacing w:lineRule="exact" w:line="500" w:before="100" w:after="100"/>
        <w:contextualSpacing/>
        <w:rPr>
          <w:rFonts w:eastAsia="宋体" w:hint="eastAsia"/>
          <w:sz w:val="21"/>
          <w:szCs w:val="21"/>
        </w:rPr>
      </w:pPr>
      <w:r>
        <w:rPr>
          <w:sz w:val="21"/>
          <w:szCs w:val="21"/>
        </w:rPr>
        <w:t>　</w:t>
      </w:r>
      <w:r>
        <w:rPr>
          <w:rFonts w:hint="eastAsia"/>
          <w:sz w:val="21"/>
          <w:szCs w:val="21"/>
        </w:rPr>
        <w:t>报名条件：</w:t>
      </w:r>
    </w:p>
    <w:p>
      <w:pPr>
        <w:pStyle w:val="Style18"/>
        <w:spacing w:lineRule="exact" w:line="500" w:before="100" w:after="100"/>
        <w:contextualSpacing/>
        <w:rPr>
          <w:rFonts w:hint="eastAsia"/>
          <w:sz w:val="21"/>
          <w:szCs w:val="21"/>
        </w:rPr>
      </w:pPr>
      <w:r>
        <w:rPr>
          <w:sz w:val="21"/>
          <w:szCs w:val="21"/>
        </w:rPr>
        <w:t>1</w:t>
      </w:r>
      <w:r>
        <w:rPr>
          <w:sz w:val="21"/>
          <w:szCs w:val="21"/>
        </w:rPr>
        <w:t>、遵纪守法，品行端正，身体健康，能坚持在职学习者；</w:t>
      </w:r>
    </w:p>
    <w:p>
      <w:pPr>
        <w:pStyle w:val="Style18"/>
        <w:spacing w:lineRule="exact" w:line="500" w:before="100" w:after="100"/>
        <w:contextualSpacing/>
        <w:rPr>
          <w:sz w:val="21"/>
          <w:szCs w:val="21"/>
        </w:rPr>
      </w:pPr>
      <w:r>
        <w:rPr>
          <w:sz w:val="21"/>
          <w:szCs w:val="21"/>
        </w:rPr>
        <w:t>2</w:t>
      </w:r>
      <w:r>
        <w:rPr>
          <w:sz w:val="21"/>
          <w:szCs w:val="21"/>
        </w:rPr>
        <w:t>、受教育背景，符合下列条件之一者：大学本科毕业，并获得学士学位者；</w:t>
      </w:r>
    </w:p>
    <w:p>
      <w:pPr>
        <w:pStyle w:val="Style18"/>
        <w:spacing w:lineRule="exact" w:line="500" w:before="100" w:after="100"/>
        <w:contextualSpacing/>
        <w:rPr>
          <w:sz w:val="21"/>
          <w:szCs w:val="21"/>
        </w:rPr>
      </w:pPr>
      <w:r>
        <w:rPr>
          <w:rFonts w:hint="eastAsia"/>
          <w:sz w:val="21"/>
          <w:szCs w:val="21"/>
        </w:rPr>
        <w:t>3</w:t>
      </w:r>
      <w:r>
        <w:rPr>
          <w:rFonts w:hint="eastAsia"/>
          <w:sz w:val="21"/>
          <w:szCs w:val="21"/>
        </w:rPr>
        <w:t>、</w:t>
      </w:r>
      <w:r>
        <w:rPr>
          <w:sz w:val="21"/>
          <w:szCs w:val="21"/>
        </w:rPr>
        <w:t>大专学历，可参加培训班课程的学习。</w:t>
      </w:r>
    </w:p>
    <w:p>
      <w:pPr>
        <w:pStyle w:val="Style18"/>
        <w:spacing w:lineRule="exact" w:line="500" w:before="100" w:after="100"/>
        <w:contextualSpacing/>
        <w:rPr>
          <w:sz w:val="21"/>
          <w:szCs w:val="21"/>
        </w:rPr>
      </w:pPr>
      <w:r>
        <w:rPr>
          <w:sz w:val="21"/>
          <w:szCs w:val="21"/>
        </w:rPr>
        <w:t>　</w:t>
      </w:r>
      <w:r>
        <w:rPr>
          <w:rFonts w:hint="eastAsia"/>
          <w:sz w:val="21"/>
          <w:szCs w:val="21"/>
        </w:rPr>
        <w:t>报名材料</w:t>
      </w:r>
      <w:r>
        <w:rPr>
          <w:sz w:val="21"/>
          <w:szCs w:val="21"/>
        </w:rPr>
        <w:t>：</w:t>
      </w:r>
    </w:p>
    <w:p>
      <w:pPr>
        <w:pStyle w:val="Style18"/>
        <w:spacing w:lineRule="exact" w:line="500" w:before="100" w:after="100"/>
        <w:contextualSpacing/>
        <w:rPr>
          <w:rFonts w:hint="eastAsia"/>
          <w:sz w:val="21"/>
          <w:szCs w:val="21"/>
        </w:rPr>
      </w:pPr>
      <w:r>
        <w:rPr>
          <w:rFonts w:hint="eastAsia"/>
          <w:sz w:val="21"/>
          <w:szCs w:val="21"/>
        </w:rPr>
        <w:t>1</w:t>
      </w:r>
      <w:r>
        <w:rPr>
          <w:rFonts w:hint="eastAsia"/>
          <w:sz w:val="21"/>
          <w:szCs w:val="21"/>
        </w:rPr>
        <w:t>、</w:t>
      </w:r>
      <w:r>
        <w:rPr>
          <w:sz w:val="21"/>
          <w:szCs w:val="21"/>
        </w:rPr>
        <w:t>填写在职课程培训班报名登记表。</w:t>
      </w:r>
    </w:p>
    <w:p>
      <w:pPr>
        <w:pStyle w:val="Style18"/>
        <w:spacing w:lineRule="exact" w:line="500" w:before="100" w:after="100"/>
        <w:contextualSpacing/>
        <w:rPr>
          <w:sz w:val="21"/>
          <w:szCs w:val="21"/>
        </w:rPr>
      </w:pPr>
      <w:r>
        <w:rPr>
          <w:rFonts w:hint="eastAsia"/>
          <w:sz w:val="21"/>
          <w:szCs w:val="21"/>
        </w:rPr>
        <w:t>2</w:t>
      </w:r>
      <w:r>
        <w:rPr>
          <w:rFonts w:hint="eastAsia"/>
          <w:sz w:val="21"/>
          <w:szCs w:val="21"/>
        </w:rPr>
        <w:t>、</w:t>
      </w:r>
      <w:r>
        <w:rPr>
          <w:sz w:val="21"/>
          <w:szCs w:val="21"/>
        </w:rPr>
        <w:t>本人最后毕业证、学位证、身份证三个证书复印件。</w:t>
      </w:r>
    </w:p>
    <w:p>
      <w:pPr>
        <w:pStyle w:val="Style18"/>
        <w:spacing w:lineRule="exact" w:line="500" w:before="100" w:after="100"/>
        <w:contextualSpacing/>
        <w:rPr>
          <w:sz w:val="21"/>
          <w:szCs w:val="21"/>
        </w:rPr>
      </w:pPr>
      <w:r>
        <w:rPr>
          <w:rFonts w:hint="eastAsia"/>
          <w:sz w:val="21"/>
          <w:szCs w:val="21"/>
        </w:rPr>
        <w:t>3</w:t>
      </w:r>
      <w:r>
        <w:rPr>
          <w:rFonts w:hint="eastAsia"/>
          <w:sz w:val="21"/>
          <w:szCs w:val="21"/>
        </w:rPr>
        <w:t>、</w:t>
      </w:r>
      <w:r>
        <w:rPr>
          <w:sz w:val="21"/>
          <w:szCs w:val="21"/>
        </w:rPr>
        <w:t>2</w:t>
      </w:r>
      <w:r>
        <w:rPr>
          <w:sz w:val="21"/>
          <w:szCs w:val="21"/>
        </w:rPr>
        <w:t>寸同底彩色证件照</w:t>
      </w:r>
      <w:r>
        <w:rPr>
          <w:sz w:val="21"/>
          <w:szCs w:val="21"/>
        </w:rPr>
        <w:t>4</w:t>
      </w:r>
      <w:r>
        <w:rPr>
          <w:sz w:val="21"/>
          <w:szCs w:val="21"/>
        </w:rPr>
        <w:t>张。</w:t>
      </w:r>
    </w:p>
    <w:p>
      <w:pPr>
        <w:pStyle w:val="Style18"/>
        <w:spacing w:lineRule="exact" w:line="500" w:before="100" w:after="100"/>
        <w:ind w:firstLineChars="300" w:startChars="0" w:start="0" w:endChars="0" w:end="0"/>
        <w:contextualSpacing/>
        <w:rPr>
          <w:rFonts w:hint="eastAsia"/>
          <w:sz w:val="21"/>
          <w:szCs w:val="21"/>
        </w:rPr>
      </w:pPr>
      <w:r>
        <w:rPr>
          <w:rFonts w:hint="eastAsia"/>
          <w:sz w:val="21"/>
          <w:szCs w:val="21"/>
        </w:rPr>
      </w:r>
    </w:p>
    <w:p>
      <w:pPr>
        <w:pStyle w:val="Style18"/>
        <w:spacing w:lineRule="exact" w:line="500" w:before="100" w:after="100"/>
        <w:contextualSpacing/>
        <w:rPr>
          <w:sz w:val="21"/>
          <w:szCs w:val="21"/>
        </w:rPr>
      </w:pPr>
      <w:r>
        <w:rPr>
          <w:rFonts w:hint="eastAsia"/>
          <w:b/>
          <w:color w:val="C00000"/>
          <w:sz w:val="21"/>
          <w:szCs w:val="21"/>
        </w:rPr>
        <w:t>六</w:t>
      </w:r>
      <w:r>
        <w:rPr>
          <w:b/>
          <w:color w:val="C00000"/>
          <w:sz w:val="21"/>
          <w:szCs w:val="21"/>
        </w:rPr>
        <w:t>、收费标准</w:t>
      </w:r>
    </w:p>
    <w:p>
      <w:pPr>
        <w:pStyle w:val="Style18"/>
        <w:spacing w:lineRule="exact" w:line="500" w:before="100" w:after="100"/>
        <w:ind w:firstLine="420" w:end="0"/>
        <w:contextualSpacing/>
        <w:rPr>
          <w:sz w:val="21"/>
          <w:szCs w:val="21"/>
        </w:rPr>
      </w:pPr>
      <w:r>
        <w:rPr>
          <w:sz w:val="21"/>
          <w:szCs w:val="21"/>
        </w:rPr>
        <w:t>在职课程培训班费用</w:t>
      </w:r>
      <w:r>
        <w:rPr>
          <w:sz w:val="21"/>
          <w:szCs w:val="21"/>
        </w:rPr>
        <w:t>3</w:t>
      </w:r>
      <w:r>
        <w:rPr>
          <w:rFonts w:hint="eastAsia"/>
          <w:sz w:val="21"/>
          <w:szCs w:val="21"/>
        </w:rPr>
        <w:t>8</w:t>
      </w:r>
      <w:r>
        <w:rPr>
          <w:sz w:val="21"/>
          <w:szCs w:val="21"/>
        </w:rPr>
        <w:t>000</w:t>
      </w:r>
      <w:r>
        <w:rPr>
          <w:sz w:val="21"/>
          <w:szCs w:val="21"/>
        </w:rPr>
        <w:t>元，书费、资料费自理。培训费一次性交清。</w:t>
      </w:r>
    </w:p>
    <w:p>
      <w:pPr>
        <w:pStyle w:val="Style18"/>
        <w:spacing w:lineRule="exact" w:line="500" w:before="100" w:after="100"/>
        <w:ind w:firstLine="420" w:end="0"/>
        <w:contextualSpacing/>
        <w:rPr>
          <w:sz w:val="21"/>
          <w:szCs w:val="21"/>
        </w:rPr>
      </w:pPr>
      <w:r>
        <w:rPr>
          <w:sz w:val="21"/>
          <w:szCs w:val="21"/>
        </w:rPr>
      </w:r>
    </w:p>
    <w:p>
      <w:pPr>
        <w:pStyle w:val="Style18"/>
        <w:spacing w:lineRule="exact" w:line="500" w:before="100" w:after="100"/>
        <w:contextualSpacing/>
        <w:rPr>
          <w:b/>
          <w:color w:val="C00000"/>
          <w:sz w:val="21"/>
          <w:szCs w:val="21"/>
        </w:rPr>
      </w:pPr>
      <w:r>
        <w:rPr>
          <w:rFonts w:hint="eastAsia"/>
          <w:b/>
          <w:color w:val="C00000"/>
          <w:sz w:val="21"/>
          <w:szCs w:val="21"/>
        </w:rPr>
        <w:t>七</w:t>
      </w:r>
      <w:r>
        <w:rPr>
          <w:b/>
          <w:color w:val="C00000"/>
          <w:sz w:val="21"/>
          <w:szCs w:val="21"/>
        </w:rPr>
        <w:t>、缴费方式</w:t>
      </w:r>
    </w:p>
    <w:p>
      <w:pPr>
        <w:pStyle w:val="Style18"/>
        <w:spacing w:lineRule="exact" w:line="500" w:before="100" w:after="100"/>
        <w:ind w:firstLineChars="200" w:startChars="0" w:start="0" w:endChars="0" w:end="0"/>
        <w:contextualSpacing/>
        <w:rPr>
          <w:sz w:val="21"/>
          <w:szCs w:val="21"/>
        </w:rPr>
      </w:pPr>
      <w:r>
        <w:rPr>
          <w:sz w:val="21"/>
          <w:szCs w:val="21"/>
        </w:rPr>
        <w:t>个人账户缴费：点击“中国人民大学终身学习服务平台”发布简章的缴费链接，通过学校电子收费系统缴费。</w:t>
      </w:r>
    </w:p>
    <w:p>
      <w:pPr>
        <w:pStyle w:val="Style18"/>
        <w:spacing w:lineRule="exact" w:line="500" w:before="100" w:after="100"/>
        <w:ind w:firstLineChars="200" w:startChars="0" w:start="0" w:endChars="0" w:end="0"/>
        <w:contextualSpacing/>
        <w:rPr>
          <w:sz w:val="21"/>
          <w:szCs w:val="21"/>
        </w:rPr>
      </w:pPr>
      <w:r>
        <w:rPr>
          <w:sz w:val="21"/>
          <w:szCs w:val="21"/>
        </w:rPr>
      </w:r>
    </w:p>
    <w:p>
      <w:pPr>
        <w:pStyle w:val="Style18"/>
        <w:spacing w:lineRule="exact" w:line="500" w:before="100" w:after="100"/>
        <w:contextualSpacing/>
        <w:rPr>
          <w:b/>
          <w:color w:val="C00000"/>
          <w:sz w:val="21"/>
          <w:szCs w:val="21"/>
        </w:rPr>
      </w:pPr>
      <w:r>
        <w:rPr>
          <w:rFonts w:hint="eastAsia"/>
          <w:b/>
          <w:color w:val="C00000"/>
          <w:sz w:val="21"/>
          <w:szCs w:val="21"/>
        </w:rPr>
        <w:t>八</w:t>
      </w:r>
      <w:r>
        <w:rPr>
          <w:b/>
          <w:color w:val="C00000"/>
          <w:sz w:val="21"/>
          <w:szCs w:val="21"/>
        </w:rPr>
        <w:t>、获取证书</w:t>
      </w:r>
    </w:p>
    <w:p>
      <w:pPr>
        <w:pStyle w:val="Style18"/>
        <w:spacing w:lineRule="exact" w:line="500" w:before="100" w:after="100"/>
        <w:ind w:firstLineChars="200" w:startChars="0" w:start="0" w:endChars="0" w:end="0"/>
        <w:contextualSpacing/>
        <w:rPr>
          <w:sz w:val="21"/>
          <w:szCs w:val="21"/>
        </w:rPr>
      </w:pPr>
      <w:r>
        <w:rPr>
          <w:sz w:val="21"/>
          <w:szCs w:val="21"/>
        </w:rPr>
        <w:t>完成教学计划规定的全部课程，考核合格者可以结业，颁发《中国人民大学教育培训结业证书》。</w:t>
      </w:r>
    </w:p>
    <w:p>
      <w:pPr>
        <w:pStyle w:val="Style18"/>
        <w:spacing w:lineRule="exact" w:line="500" w:before="100" w:after="100"/>
        <w:contextualSpacing/>
        <w:rPr>
          <w:rFonts w:hint="eastAsia"/>
          <w:sz w:val="21"/>
          <w:szCs w:val="21"/>
        </w:rPr>
      </w:pPr>
      <w:r>
        <w:rPr>
          <w:rFonts w:hint="eastAsia"/>
          <w:sz w:val="21"/>
          <w:szCs w:val="21"/>
        </w:rPr>
      </w:r>
    </w:p>
    <w:sectPr>
      <w:headerReference w:type="default" r:id="rId3"/>
      <w:type w:val="nextPage"/>
      <w:pgSz w:w="11906" w:h="16838"/>
      <w:pgMar w:left="1800" w:right="1800" w:gutter="0" w:header="851" w:top="1440" w:footer="0" w:bottom="144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86"/>
    <w:family w:val="roman"/>
    <w:pitch w:val="variable"/>
  </w:font>
  <w:font w:name="Times New Roman">
    <w:charset w:val="00" w:characterSet="windows-1252"/>
    <w:family w:val="roman"/>
    <w:pitch w:val="default"/>
  </w:font>
  <w:font w:name="宋体">
    <w:charset w:val="86"/>
    <w:family w:val="auto"/>
    <w:pitch w:val="default"/>
  </w:font>
  <w:font w:name="Liberation Sans">
    <w:altName w:val="Arial"/>
    <w:charset w:val="86"/>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lang w:val="zh-CN" w:eastAsia="zh-CN"/>
      </w:rPr>
      <w:drawing>
        <wp:anchor distT="0" distB="0" distL="114935" distR="114935" simplePos="0" relativeHeight="5" behindDoc="1" locked="0" layoutInCell="0" allowOverlap="1">
          <wp:simplePos x="0" y="0"/>
          <wp:positionH relativeFrom="margin">
            <wp:align>center</wp:align>
          </wp:positionH>
          <wp:positionV relativeFrom="margin">
            <wp:align>center</wp:align>
          </wp:positionV>
          <wp:extent cx="4472305" cy="4507865"/>
          <wp:effectExtent l="0" t="0" r="0" b="0"/>
          <wp:wrapNone/>
          <wp:docPr id="3" name="WordPictureWatermark1058209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58209720"/>
                  <pic:cNvPicPr>
                    <a:picLocks noChangeAspect="1" noChangeArrowheads="1"/>
                  </pic:cNvPicPr>
                </pic:nvPicPr>
                <pic:blipFill>
                  <a:blip r:embed="rId1">
                    <a:lum bright="70000" contrast="-70000"/>
                  </a:blip>
                  <a:srcRect l="-6" t="-6" r="-6" b="-6"/>
                  <a:stretch>
                    <a:fillRect/>
                  </a:stretch>
                </pic:blipFill>
                <pic:spPr bwMode="auto">
                  <a:xfrm>
                    <a:off x="0" y="0"/>
                    <a:ext cx="4472305" cy="4507865"/>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pStyle w:val="Heading6"/>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chineseCountingThousand"/>
      <w:suff w:val="nothing"/>
      <w:lvlText w:val="%1、"/>
      <w:lvlJc w:val="start"/>
      <w:pPr>
        <w:tabs>
          <w:tab w:val="num" w:pos="0"/>
        </w:tabs>
        <w:ind w:start="0" w:hanging="0"/>
      </w:pPr>
      <w:rPr>
        <w:rFonts w:hint="eastAsia"/>
      </w:rPr>
    </w:lvl>
  </w:abstractNum>
  <w:abstractNum w:abstractNumId="3">
    <w:lvl w:ilvl="0">
      <w:start w:val="2"/>
      <w:numFmt w:val="chineseCountingThousand"/>
      <w:suff w:val="nothing"/>
      <w:lvlText w:val="%1、"/>
      <w:lvlJc w:val="start"/>
      <w:pPr>
        <w:tabs>
          <w:tab w:val="num" w:pos="0"/>
        </w:tabs>
        <w:ind w:start="0" w:hanging="0"/>
      </w:pPr>
      <w:rPr>
        <w:rFonts w:hint="eastAsia"/>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420"/>
  <w:autoHyphenation w:val="true"/>
  <w:hyphenationZone w:val="0"/>
  <w:compat>
    <w:doNotExpandShiftReturn/>
    <w:adjustLineHeightInTable/>
    <w:compatSetting w:name="compatibilityMode" w:uri="http://schemas.microsoft.com/office/word" w:val="11"/>
  </w:compat>
  <w:docVars>
    <w:docVar w:name="commondata" w:val="eyJoZGlkIjoiNGQ5ODQ5N2Q1NmI0ZDAwYTJiMTcyMmU3ZjhhMWE4NmEifQ=="/>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新宋体" w:cs="Lucida Sans"/>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2"/>
      <w:lang w:bidi="ar-SA" w:val="en-US" w:eastAsia="zh-CN"/>
    </w:rPr>
  </w:style>
  <w:style w:type="paragraph" w:styleId="Heading6">
    <w:name w:val="heading 6"/>
    <w:basedOn w:val="Normal"/>
    <w:next w:val="Normal"/>
    <w:qFormat/>
    <w:pPr>
      <w:numPr>
        <w:ilvl w:val="5"/>
        <w:numId w:val="1"/>
      </w:numPr>
      <w:spacing w:before="100" w:after="100"/>
      <w:jc w:val="start"/>
      <w:outlineLvl w:val="5"/>
    </w:pPr>
    <w:rPr>
      <w:rFonts w:ascii="宋体" w:hAnsi="宋体" w:cs="宋体"/>
      <w:b/>
      <w:kern w:val="0"/>
      <w:sz w:val="15"/>
      <w:szCs w:val="15"/>
    </w:rPr>
  </w:style>
  <w:style w:type="character" w:styleId="WW8Num1z0">
    <w:name w:val="WW8Num1z0"/>
    <w:qFormat/>
    <w:rPr>
      <w:rFonts w:hint="eastAsia"/>
    </w:rPr>
  </w:style>
  <w:style w:type="character" w:styleId="WW8Num2z0">
    <w:name w:val="WW8Num2z0"/>
    <w:qFormat/>
    <w:rPr>
      <w:rFonts w:hint="eastAsia"/>
    </w:rPr>
  </w:style>
  <w:style w:type="character" w:styleId="Style13">
    <w:name w:val="默认段落字体"/>
    <w:qFormat/>
    <w:rPr/>
  </w:style>
  <w:style w:type="character" w:styleId="6Char">
    <w:name w:val="标题 6 Char"/>
    <w:qFormat/>
    <w:rPr>
      <w:rFonts w:ascii="宋体" w:hAnsi="宋体" w:cs="宋体"/>
      <w:b/>
      <w:sz w:val="15"/>
      <w:szCs w:val="15"/>
    </w:rPr>
  </w:style>
  <w:style w:type="character" w:styleId="Char">
    <w:name w:val="批注框文本 Char"/>
    <w:qFormat/>
    <w:rPr>
      <w:sz w:val="18"/>
      <w:szCs w:val="18"/>
    </w:rPr>
  </w:style>
  <w:style w:type="character" w:styleId="Char1">
    <w:name w:val="页脚 Char"/>
    <w:qFormat/>
    <w:rPr>
      <w:sz w:val="18"/>
      <w:szCs w:val="18"/>
    </w:rPr>
  </w:style>
  <w:style w:type="character" w:styleId="Char2">
    <w:name w:val="页眉 Char"/>
    <w:qFormat/>
    <w:rPr>
      <w:sz w:val="18"/>
      <w:szCs w:val="18"/>
    </w:rPr>
  </w:style>
  <w:style w:type="character" w:styleId="Emphasis">
    <w:name w:val="Emphasis"/>
    <w:basedOn w:val="Style13"/>
    <w:qFormat/>
    <w:rPr>
      <w:i/>
    </w:rPr>
  </w:style>
  <w:style w:type="character" w:styleId="Hyperlink">
    <w:name w:val="Hyperlink"/>
    <w:rPr>
      <w:color w:val="0563C1"/>
      <w:u w:val="single"/>
    </w:rPr>
  </w:style>
  <w:style w:type="paragraph" w:styleId="Style14">
    <w:name w:val="标题样式"/>
    <w:basedOn w:val="Normal"/>
    <w:next w:val="BodyText"/>
    <w:qFormat/>
    <w:pPr>
      <w:keepNext w:val="true"/>
      <w:spacing w:before="240" w:after="120"/>
    </w:pPr>
    <w:rPr>
      <w:rFonts w:ascii="Liberation Sans" w:hAnsi="Liberation Sans" w:eastAsia="Noto Sans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5">
    <w:name w:val="索引"/>
    <w:basedOn w:val="Normal"/>
    <w:qFormat/>
    <w:pPr>
      <w:suppressLineNumbers/>
    </w:pPr>
    <w:rPr>
      <w:rFonts w:cs="Lucida Sans"/>
    </w:rPr>
  </w:style>
  <w:style w:type="paragraph" w:styleId="Style16">
    <w:name w:val="批注框文本"/>
    <w:basedOn w:val="Normal"/>
    <w:qFormat/>
    <w:pPr/>
    <w:rPr>
      <w:kern w:val="0"/>
      <w:sz w:val="18"/>
      <w:szCs w:val="18"/>
    </w:rPr>
  </w:style>
  <w:style w:type="paragraph" w:styleId="Style17">
    <w:name w:val="页眉与页脚"/>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kern w:val="0"/>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kern w:val="0"/>
      <w:sz w:val="18"/>
      <w:szCs w:val="18"/>
    </w:rPr>
  </w:style>
  <w:style w:type="paragraph" w:styleId="Style18">
    <w:name w:val="普通(网站)"/>
    <w:basedOn w:val="Normal"/>
    <w:qFormat/>
    <w:pPr>
      <w:widowControl/>
      <w:spacing w:before="100" w:after="100"/>
      <w:jc w:val="start"/>
    </w:pPr>
    <w:rPr>
      <w:rFonts w:ascii="宋体" w:hAnsi="宋体" w:eastAsia="宋体" w:cs="宋体"/>
      <w:kern w:val="0"/>
      <w:sz w:val="24"/>
      <w:szCs w:val="24"/>
    </w:rPr>
  </w:style>
  <w:style w:type="paragraph" w:styleId="Style19">
    <w:name w:val="表格内容"/>
    <w:basedOn w:val="Normal"/>
    <w:qFormat/>
    <w:pPr>
      <w:widowControl w:val="false"/>
      <w:suppressLineNumbers/>
    </w:pPr>
    <w:rPr/>
  </w:style>
  <w:style w:type="paragraph" w:styleId="Style20">
    <w:name w:val="表格标题"/>
    <w:basedOn w:val="Style19"/>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12960</TotalTime>
  <Application>LibreOffice/26.2.5.2$Windows_X86_64 LibreOffice_project/cd7284b4cbbfeb507e630c1aac019f4157393acb</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2021-01-23T14:22:00Z</dcterms:created>
  <dc:creator>Administrator</dc:creator>
  <dc:description/>
  <dc:language>zh-CN</dc:language>
  <cp:lastModifiedBy>Administrator</cp:lastModifiedBy>
  <dcterms:modified xsi:type="dcterms:W3CDTF">2026-01-13T18:05:06Z</dcterms:modified>
  <cp:revision>83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F068879D96404E42A512C42F583CBBC2_13</vt:lpwstr>
  </property>
  <property fmtid="{D5CDD505-2E9C-101B-9397-08002B2CF9AE}" pid="3" name="KSOProductBuildVer">
    <vt:lpwstr>2052-12.1.0.19302</vt:lpwstr>
  </property>
  <property fmtid="{D5CDD505-2E9C-101B-9397-08002B2CF9AE}" pid="4" name="KSOTemplateDocerSaveRecord">
    <vt:lpwstr>eyJoZGlkIjoiMjJkYmYyOGQwNjU2YTFjYjBlYWQzZDdlZjc2Nzk1ZWYifQ==</vt:lpwstr>
  </property>
  <property fmtid="{D5CDD505-2E9C-101B-9397-08002B2CF9AE}" pid="5" name="commondata">
    <vt:lpwstr>eyJoZGlkIjoiMjJkYmYyOGQwNjU2YTFjYjBlYWQzZDdlZjc2Nzk1ZWYifQ==</vt:lpwstr>
  </property>
</Properties>
</file>