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Heading5"/>
        <w:widowControl/>
        <w:shd w:fill="FFFFFF" w:val="clear"/>
        <w:spacing w:before="0" w:after="0"/>
        <w:ind w:hanging="0" w:start="0"/>
        <w:jc w:val="center"/>
        <w:textAlignment w:val="baseline"/>
        <w:rPr>
          <w:sz w:val="32"/>
          <w:szCs w:val="32"/>
        </w:rPr>
      </w:pPr>
      <w:r>
        <w:rPr>
          <w:sz w:val="32"/>
          <w:szCs w:val="32"/>
        </w:rPr>
        <w:t>2026</w:t>
      </w:r>
      <w:r>
        <w:rPr>
          <w:sz w:val="32"/>
          <w:szCs w:val="32"/>
        </w:rPr>
        <w:t>年中国人民大学文学院</w:t>
      </w:r>
      <w:r>
        <w:rPr>
          <w:sz w:val="32"/>
          <w:szCs w:val="32"/>
        </w:rPr>
        <w:t>中国古代文学</w:t>
      </w:r>
      <w:r>
        <w:rPr>
          <w:sz w:val="32"/>
          <w:szCs w:val="32"/>
        </w:rPr>
        <w:t>专业</w:t>
      </w:r>
    </w:p>
    <w:p>
      <w:pPr>
        <w:pStyle w:val="Style20"/>
        <w:spacing w:lineRule="exact" w:line="500" w:before="100" w:after="100"/>
        <w:contextualSpacing/>
        <w:jc w:val="center"/>
        <w:rPr>
          <w:b/>
          <w:bCs/>
          <w:sz w:val="32"/>
          <w:szCs w:val="32"/>
        </w:rPr>
      </w:pPr>
      <w:r>
        <w:rPr>
          <w:b/>
          <w:bCs/>
          <w:sz w:val="32"/>
          <w:szCs w:val="32"/>
        </w:rPr>
        <w:t>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文学院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0"/>
        <w:numPr>
          <w:ilvl w:val="0"/>
          <w:numId w:val="2"/>
        </w:numPr>
        <w:spacing w:lineRule="exact" w:line="500" w:before="100" w:after="280"/>
        <w:rPr>
          <w:b/>
          <w:color w:val="C00000"/>
          <w:sz w:val="21"/>
          <w:szCs w:val="21"/>
        </w:rPr>
      </w:pPr>
      <w:r>
        <w:rPr>
          <w:b/>
          <w:color w:val="C00000"/>
          <w:sz w:val="21"/>
          <w:szCs w:val="21"/>
        </w:rPr>
        <w:t>学院及专业优势简介</w:t>
      </w:r>
    </w:p>
    <w:p>
      <w:pPr>
        <w:pStyle w:val="Normal"/>
        <w:spacing w:lineRule="exact" w:line="500"/>
        <w:ind w:firstLineChars="300" w:startChars="0" w:start="0" w:endChars="0" w:end="0"/>
        <w:rPr>
          <w:rFonts w:ascii="宋体;SimSun" w:hAnsi="宋体;SimSun" w:cs="宋体;SimSun" w:hint="eastAsia"/>
          <w:szCs w:val="21"/>
        </w:rPr>
      </w:pPr>
      <w:r>
        <w:rPr>
          <w:rFonts w:ascii="宋体;SimSun" w:hAnsi="宋体;SimSun" w:cs="宋体;SimSun" w:hint="eastAsia"/>
          <w:szCs w:val="21"/>
        </w:rPr>
        <w:t>中国人民大学文学院是学科体系完备、专业实力雄厚的语言文学研究和一流人才培养重镇，先后被批准为“国家文科基础学科（中国语言文学）人才培养和科学研究基地”、“国家对外汉语教学基地”。在教育部第四轮学科评估中，文学院中国语言文学跻身</w:t>
      </w:r>
      <w:r>
        <w:rPr>
          <w:rFonts w:cs="宋体;SimSun" w:hint="eastAsia" w:ascii="宋体;SimSun" w:hAnsi="宋体;SimSun"/>
          <w:szCs w:val="21"/>
        </w:rPr>
        <w:t>A</w:t>
      </w:r>
      <w:r>
        <w:rPr>
          <w:rFonts w:ascii="宋体;SimSun" w:hAnsi="宋体;SimSun" w:cs="宋体;SimSun" w:hint="eastAsia"/>
          <w:szCs w:val="21"/>
        </w:rPr>
        <w:t>类，办学水平位居全国高校前列。</w:t>
      </w:r>
    </w:p>
    <w:p>
      <w:pPr>
        <w:pStyle w:val="Normal"/>
        <w:spacing w:lineRule="exact" w:line="500"/>
        <w:ind w:firstLineChars="300" w:startChars="0" w:start="0" w:endChars="0" w:end="0"/>
        <w:rPr>
          <w:rFonts w:ascii="宋体;SimSun" w:hAnsi="宋体;SimSun" w:cs="宋体;SimSun" w:hint="eastAsia"/>
          <w:szCs w:val="21"/>
        </w:rPr>
      </w:pPr>
      <w:r>
        <w:rPr>
          <w:rFonts w:ascii="宋体;SimSun" w:hAnsi="宋体;SimSun" w:cs="宋体;SimSun" w:hint="eastAsia"/>
          <w:szCs w:val="21"/>
        </w:rPr>
        <w:t>中国古代文学、古典文献学是中国语言文学的基础学科与核心研究方向之一。本学科涵盖历时千年的中国古代文学与古典文献发展历程，具有不可替代的源头性的学科基础性作用。中国古代文学分为先秦两汉、魏晋南北朝隋唐、宋元、明清四个时段进行研究与教学，古典文献学的研究方向主要集中在经学文献、集部文献和戏曲小说文献。教研室的师资力量较好，多数教师具有留学或海外研究经历，涵盖的研究方向比较全面，老中青结合，年轻化比例较高，有一定的后劲优势。教研室成员的一部分研究课题的学术水平在国内外处于前沿地位，已经发表、出版了一系列论文与专著，申请、结项了一系列国家社科基金项目。这些成果获得学界认可，具有较好的声誉与影响。科研及教学水平在今后较长一段时期内正常持续发展，有望积淀形成比较深厚的学科优势。</w:t>
      </w:r>
    </w:p>
    <w:p>
      <w:pPr>
        <w:pStyle w:val="Style20"/>
        <w:numPr>
          <w:ilvl w:val="0"/>
          <w:numId w:val="3"/>
        </w:numPr>
        <w:spacing w:lineRule="exact" w:line="500" w:before="100" w:after="280"/>
        <w:rPr>
          <w:rFonts w:hint="eastAsia"/>
          <w:b/>
          <w:color w:val="C00000"/>
          <w:sz w:val="21"/>
          <w:szCs w:val="21"/>
        </w:rPr>
      </w:pPr>
      <w:r>
        <w:rPr>
          <w:rFonts w:hint="eastAsia"/>
          <w:b/>
          <w:color w:val="C00000"/>
          <w:sz w:val="21"/>
          <w:szCs w:val="21"/>
        </w:rPr>
        <w:t>课程安排</w:t>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Cs/>
                <w:color w:val="000000"/>
                <w:sz w:val="21"/>
                <w:szCs w:val="21"/>
                <w:lang w:bidi="ar"/>
              </w:rPr>
              <w:t>中国古代文学专业课程</w:t>
            </w:r>
          </w:p>
        </w:tc>
      </w:tr>
      <w:tr>
        <w:trPr>
          <w:trHeight w:val="580" w:hRule="atLeast"/>
        </w:trPr>
        <w:tc>
          <w:tcPr>
            <w:tcW w:w="197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政治理论课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r>
      <w:tr>
        <w:trPr>
          <w:trHeight w:val="412"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第一外语课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语言基础</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firstLineChars="100" w:startChars="0" w:start="0" w:endChars="0" w:end="0"/>
              <w:jc w:val="center"/>
              <w:rPr>
                <w:rFonts w:cs="微软雅黑"/>
                <w:bCs/>
                <w:color w:val="000000"/>
                <w:sz w:val="21"/>
                <w:szCs w:val="21"/>
                <w:lang w:bidi="ar"/>
              </w:rPr>
            </w:pPr>
            <w:r>
              <w:rPr>
                <w:rFonts w:cs="微软雅黑" w:hint="eastAsia"/>
                <w:bCs/>
                <w:color w:val="000000"/>
                <w:sz w:val="21"/>
                <w:szCs w:val="21"/>
                <w:lang w:bidi="ar"/>
              </w:rPr>
              <w:t>基础专业课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文学研究的问题与方法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中国古代文学</w:t>
            </w:r>
            <w:r>
              <w:rPr>
                <w:rFonts w:cs="微软雅黑" w:hint="eastAsia"/>
                <w:b w:val="false"/>
                <w:color w:val="000000"/>
                <w:sz w:val="21"/>
                <w:szCs w:val="21"/>
                <w:lang w:bidi="ar"/>
              </w:rPr>
              <w:t>、文献研究前沿</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rPr>
                <w:rFonts w:cs="微软雅黑" w:hint="eastAsia"/>
                <w:b w:val="false"/>
                <w:color w:val="000000"/>
                <w:sz w:val="21"/>
                <w:szCs w:val="21"/>
                <w:lang w:bidi="ar"/>
              </w:rPr>
            </w:pPr>
            <w:r>
              <w:rPr>
                <w:rFonts w:cs="微软雅黑" w:hint="eastAsia"/>
                <w:b w:val="false"/>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学术规范与论文写作</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中国古典文献学</w:t>
            </w:r>
          </w:p>
        </w:tc>
      </w:tr>
      <w:tr>
        <w:trPr>
          <w:trHeight w:val="59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Cs/>
                <w:color w:val="000000"/>
                <w:sz w:val="21"/>
                <w:szCs w:val="21"/>
                <w:lang w:bidi="ar"/>
              </w:rPr>
            </w:pPr>
            <w:r>
              <w:rPr>
                <w:rFonts w:cs="微软雅黑"/>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中国古代诗歌发展史</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中国古代小说史</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中国古代文论专题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hint="eastAsia"/>
                <w:b w:val="false"/>
                <w:color w:val="000000"/>
                <w:sz w:val="21"/>
                <w:szCs w:val="21"/>
                <w:lang w:bidi="ar"/>
              </w:rPr>
            </w:pPr>
            <w:r>
              <w:rPr>
                <w:rFonts w:cs="微软雅黑" w:hint="eastAsia"/>
                <w:b w:val="false"/>
                <w:color w:val="000000"/>
                <w:sz w:val="21"/>
                <w:szCs w:val="21"/>
                <w:lang w:bidi="ar"/>
              </w:rPr>
              <w:t>先秦两汉文学专题</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魏晋南北朝文学专题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唐宋文学专题</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元明清文学专题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中国古代戏曲研究</w:t>
            </w:r>
          </w:p>
        </w:tc>
      </w:tr>
      <w:tr>
        <w:trPr>
          <w:trHeight w:val="532"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中国古代作家研究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欧美汉学原典研读</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海外中国古典文学研究专题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bl>
    <w:p>
      <w:pPr>
        <w:pStyle w:val="Style20"/>
        <w:spacing w:lineRule="exact" w:line="500" w:before="100" w:after="100"/>
        <w:contextualSpacing/>
        <w:jc w:val="center"/>
        <w:rPr>
          <w:rFonts w:hint="eastAsia"/>
          <w:sz w:val="21"/>
          <w:szCs w:val="21"/>
        </w:rPr>
      </w:pPr>
      <w:r>
        <w:rPr>
          <w:rFonts w:hint="eastAsia"/>
          <w:sz w:val="21"/>
          <w:szCs w:val="21"/>
        </w:rPr>
        <w:t>注：具体请参照实际教学</w:t>
      </w:r>
    </w:p>
    <w:p>
      <w:pPr>
        <w:pStyle w:val="Style20"/>
        <w:spacing w:lineRule="exact" w:line="500" w:before="100" w:after="100"/>
        <w:contextualSpacing/>
        <w:jc w:val="both"/>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0"/>
        <w:spacing w:lineRule="exact" w:line="500" w:before="100" w:after="100"/>
        <w:ind w:firstLine="420" w:end="0"/>
        <w:contextualSpacing/>
        <w:rPr>
          <w:sz w:val="21"/>
          <w:szCs w:val="21"/>
        </w:rPr>
      </w:pPr>
      <w:r>
        <w:rPr>
          <w:sz w:val="21"/>
          <w:szCs w:val="21"/>
        </w:rPr>
        <w:t>1</w:t>
      </w:r>
      <w:r>
        <w:rPr>
          <w:sz w:val="21"/>
          <w:szCs w:val="21"/>
        </w:rPr>
        <w:t>、线上线下全程同步的方式</w:t>
      </w:r>
      <w:r>
        <w:rPr>
          <w:sz w:val="21"/>
          <w:szCs w:val="21"/>
        </w:rPr>
        <w:t>(</w:t>
      </w:r>
      <w:r>
        <w:rPr>
          <w:sz w:val="21"/>
          <w:szCs w:val="21"/>
        </w:rPr>
        <w:t>无需到校上课</w:t>
      </w:r>
      <w:r>
        <w:rPr>
          <w:sz w:val="21"/>
          <w:szCs w:val="21"/>
        </w:rPr>
        <w:t>)</w:t>
      </w:r>
      <w:r>
        <w:rPr>
          <w:sz w:val="21"/>
          <w:szCs w:val="21"/>
        </w:rPr>
        <w:t>， 非北京地区与北京同步线上授课的教学方式。</w:t>
      </w:r>
    </w:p>
    <w:p>
      <w:pPr>
        <w:pStyle w:val="Style20"/>
        <w:spacing w:lineRule="exact" w:line="500" w:before="100" w:after="100"/>
        <w:ind w:firstLine="420" w:end="0"/>
        <w:contextualSpacing/>
        <w:rPr>
          <w:sz w:val="21"/>
          <w:szCs w:val="21"/>
        </w:rPr>
      </w:pPr>
      <w:r>
        <w:rPr>
          <w:sz w:val="21"/>
          <w:szCs w:val="21"/>
        </w:rPr>
        <w:t>2</w:t>
      </w:r>
      <w:r>
        <w:rPr>
          <w:sz w:val="21"/>
          <w:szCs w:val="21"/>
        </w:rPr>
        <w:t>、每月选择周末集中授课（寒暑假除外）。</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0"/>
        <w:spacing w:lineRule="exact" w:line="500" w:before="100" w:after="100"/>
        <w:ind w:firstLine="420" w:end="0"/>
        <w:contextualSpacing/>
        <w:rPr>
          <w:sz w:val="21"/>
          <w:szCs w:val="21"/>
        </w:rPr>
      </w:pPr>
      <w:r>
        <w:rPr>
          <w:sz w:val="21"/>
          <w:szCs w:val="21"/>
        </w:rPr>
        <w:t>学习时间：</w:t>
      </w:r>
      <w:r>
        <w:rPr>
          <w:rFonts w:hint="eastAsia"/>
          <w:sz w:val="21"/>
          <w:szCs w:val="21"/>
        </w:rPr>
        <w:t>1.5</w:t>
      </w:r>
      <w:r>
        <w:rPr>
          <w:rFonts w:hint="eastAsia"/>
          <w:sz w:val="21"/>
          <w:szCs w:val="21"/>
        </w:rPr>
        <w:t>年</w:t>
      </w:r>
      <w:r>
        <w:rPr>
          <w:sz w:val="21"/>
          <w:szCs w:val="21"/>
        </w:rPr>
        <w:t>。上午</w:t>
      </w:r>
      <w:r>
        <w:rPr>
          <w:sz w:val="21"/>
          <w:szCs w:val="21"/>
        </w:rPr>
        <w:t>9</w:t>
      </w:r>
      <w:r>
        <w:rPr>
          <w:sz w:val="21"/>
          <w:szCs w:val="21"/>
        </w:rPr>
        <w:t>：</w:t>
      </w:r>
      <w:r>
        <w:rPr>
          <w:sz w:val="21"/>
          <w:szCs w:val="21"/>
        </w:rPr>
        <w:t>00—</w:t>
      </w:r>
      <w:r>
        <w:rPr>
          <w:sz w:val="21"/>
          <w:szCs w:val="21"/>
        </w:rPr>
        <w:t>下午</w:t>
      </w:r>
      <w:r>
        <w:rPr>
          <w:sz w:val="21"/>
          <w:szCs w:val="21"/>
        </w:rPr>
        <w:t>16</w:t>
      </w:r>
      <w:r>
        <w:rPr>
          <w:sz w:val="21"/>
          <w:szCs w:val="21"/>
        </w:rPr>
        <w:t>：</w:t>
      </w:r>
      <w:r>
        <w:rPr>
          <w:sz w:val="21"/>
          <w:szCs w:val="21"/>
        </w:rPr>
        <w:t>30</w:t>
      </w:r>
      <w:r>
        <w:rPr>
          <w:sz w:val="21"/>
          <w:szCs w:val="21"/>
        </w:rPr>
        <w:t>（午休时间约为</w:t>
      </w:r>
      <w:r>
        <w:rPr>
          <w:sz w:val="21"/>
          <w:szCs w:val="21"/>
        </w:rPr>
        <w:t>1.5</w:t>
      </w:r>
      <w:r>
        <w:rPr>
          <w:sz w:val="21"/>
          <w:szCs w:val="21"/>
        </w:rPr>
        <w:t>小时）</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0"/>
        <w:spacing w:lineRule="exact" w:line="500" w:before="100" w:after="100"/>
        <w:contextualSpacing/>
        <w:rPr>
          <w:rFonts w:hint="eastAsia"/>
          <w:sz w:val="21"/>
          <w:szCs w:val="21"/>
        </w:rPr>
      </w:pPr>
      <w:r>
        <w:rPr>
          <w:sz w:val="21"/>
          <w:szCs w:val="21"/>
        </w:rPr>
        <w:t>　</w:t>
      </w:r>
      <w:r>
        <w:rPr>
          <w:rFonts w:hint="eastAsia"/>
          <w:sz w:val="21"/>
          <w:szCs w:val="21"/>
        </w:rPr>
        <w:t>报名条件：</w:t>
      </w:r>
    </w:p>
    <w:p>
      <w:pPr>
        <w:pStyle w:val="Style20"/>
        <w:spacing w:lineRule="exact" w:line="500" w:before="100" w:after="100"/>
        <w:ind w:firstLineChars="200" w:startChars="0" w:start="0" w:endChars="0" w:end="0"/>
        <w:contextualSpacing/>
        <w:rPr>
          <w:sz w:val="21"/>
          <w:szCs w:val="21"/>
        </w:rPr>
      </w:pPr>
      <w:r>
        <w:rPr>
          <w:rFonts w:hint="eastAsia"/>
          <w:sz w:val="21"/>
          <w:szCs w:val="21"/>
        </w:rPr>
        <w:t>1</w:t>
      </w:r>
      <w:r>
        <w:rPr>
          <w:rFonts w:hint="eastAsia"/>
          <w:sz w:val="21"/>
          <w:szCs w:val="21"/>
        </w:rPr>
        <w:t>、遵纪守法，品行端正，身体健康，能坚持在职学习者；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、受教育背景，符合下列条件之一者：大学本科毕业，并获得学士学位，符合入学要求。</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3</w:t>
      </w:r>
      <w:r>
        <w:rPr>
          <w:rFonts w:hint="eastAsia"/>
          <w:sz w:val="21"/>
          <w:szCs w:val="21"/>
        </w:rPr>
        <w:t>、大专学历，旨在提高本人业务素质和综合能力，若确实具有一定学术水平，经学院审核认可，也可参加在职课程培训班的学习。</w:t>
      </w:r>
    </w:p>
    <w:p>
      <w:pPr>
        <w:pStyle w:val="Style20"/>
        <w:spacing w:lineRule="exact" w:line="500" w:before="100" w:after="100"/>
        <w:contextualSpacing/>
        <w:rPr>
          <w:sz w:val="21"/>
          <w:szCs w:val="21"/>
        </w:rPr>
      </w:pPr>
      <w:r>
        <w:rPr>
          <w:sz w:val="21"/>
          <w:szCs w:val="21"/>
        </w:rPr>
        <w:t>　报名手续：</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1</w:t>
      </w:r>
      <w:r>
        <w:rPr>
          <w:rFonts w:hint="eastAsia"/>
          <w:sz w:val="21"/>
          <w:szCs w:val="21"/>
        </w:rPr>
        <w:t>）《文学院在职课程培训班入学登记表》。</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2</w:t>
      </w:r>
      <w:r>
        <w:rPr>
          <w:rFonts w:hint="eastAsia"/>
          <w:sz w:val="21"/>
          <w:szCs w:val="21"/>
        </w:rPr>
        <w:t>）本人最后学历证书、学位证书、身份证三个证书复印件各一份。</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3</w:t>
      </w:r>
      <w:r>
        <w:rPr>
          <w:rFonts w:hint="eastAsia"/>
          <w:sz w:val="21"/>
          <w:szCs w:val="21"/>
        </w:rPr>
        <w:t>）</w:t>
      </w:r>
      <w:r>
        <w:rPr>
          <w:rFonts w:hint="eastAsia"/>
          <w:sz w:val="21"/>
          <w:szCs w:val="21"/>
        </w:rPr>
        <w:t>2</w:t>
      </w:r>
      <w:r>
        <w:rPr>
          <w:rFonts w:hint="eastAsia"/>
          <w:sz w:val="21"/>
          <w:szCs w:val="21"/>
        </w:rPr>
        <w:t>张</w:t>
      </w:r>
      <w:r>
        <w:rPr>
          <w:rFonts w:hint="eastAsia"/>
          <w:sz w:val="21"/>
          <w:szCs w:val="21"/>
        </w:rPr>
        <w:t>1</w:t>
      </w:r>
      <w:r>
        <w:rPr>
          <w:rFonts w:hint="eastAsia"/>
          <w:sz w:val="21"/>
          <w:szCs w:val="21"/>
        </w:rPr>
        <w:t>寸白底彩色证件照。</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 </w:t>
      </w:r>
    </w:p>
    <w:p>
      <w:pPr>
        <w:pStyle w:val="Style20"/>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0"/>
        <w:spacing w:lineRule="exact" w:line="500" w:before="100" w:after="100"/>
        <w:ind w:firstLine="420" w:end="0"/>
        <w:contextualSpacing/>
        <w:rPr>
          <w:sz w:val="21"/>
          <w:szCs w:val="21"/>
        </w:rPr>
      </w:pPr>
      <w:r>
        <w:rPr>
          <w:sz w:val="21"/>
          <w:szCs w:val="21"/>
        </w:rPr>
        <w:t>课程培训费每人</w:t>
      </w:r>
      <w:r>
        <w:rPr>
          <w:sz w:val="21"/>
          <w:szCs w:val="21"/>
        </w:rPr>
        <w:t>3</w:t>
      </w:r>
      <w:r>
        <w:rPr>
          <w:rFonts w:hint="eastAsia"/>
          <w:sz w:val="21"/>
          <w:szCs w:val="21"/>
        </w:rPr>
        <w:t>8</w:t>
      </w:r>
      <w:r>
        <w:rPr>
          <w:sz w:val="21"/>
          <w:szCs w:val="21"/>
        </w:rPr>
        <w:t>000</w:t>
      </w:r>
      <w:r>
        <w:rPr>
          <w:sz w:val="21"/>
          <w:szCs w:val="21"/>
        </w:rPr>
        <w:t>元，一次交清。课程培训期间资料费、食宿费、差旅费由本人自理。</w:t>
      </w:r>
    </w:p>
    <w:p>
      <w:pPr>
        <w:pStyle w:val="Style20"/>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0"/>
        <w:spacing w:lineRule="exact" w:line="500" w:before="100" w:after="100"/>
        <w:ind w:firstLine="420" w:end="0"/>
        <w:contextualSpacing/>
        <w:rPr>
          <w:sz w:val="21"/>
          <w:szCs w:val="21"/>
        </w:rPr>
      </w:pPr>
      <w:r>
        <w:rPr>
          <w:sz w:val="21"/>
          <w:szCs w:val="21"/>
        </w:rPr>
        <w:t>个人账户缴费：点击“人大培训网”发布简章的缴费链接，通过学校电子收费系统缴费。　</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0"/>
        <w:spacing w:lineRule="exact" w:line="500" w:before="100" w:after="100"/>
        <w:ind w:firstLineChars="200" w:startChars="0" w:start="0" w:endChars="0" w:end="0"/>
        <w:contextualSpacing/>
        <w:rPr>
          <w:rFonts w:hint="eastAsia"/>
          <w:sz w:val="21"/>
          <w:szCs w:val="21"/>
        </w:rPr>
      </w:pPr>
      <w:r>
        <w:rPr>
          <w:sz w:val="21"/>
          <w:szCs w:val="21"/>
        </w:rPr>
        <w:t>完成教学计划规定的全部课程，考核合格者可以结业，颁发《中国人民大学教育培训结业证书》。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SimSun" w:hAnsi="宋体;SimSun" w:eastAsia="宋体;SimSun" w:cs="宋体;SimSun"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2">
    <w:name w:val="默认段落字体"/>
    <w:qFormat/>
    <w:rPr/>
  </w:style>
  <w:style w:type="character" w:styleId="6">
    <w:name w:val="标题 6 字符"/>
    <w:qFormat/>
    <w:rPr>
      <w:rFonts w:ascii="宋体;SimSun" w:hAnsi="宋体;SimSun" w:cs="宋体;SimSun"/>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Emphasis">
    <w:name w:val="Emphasis"/>
    <w:qFormat/>
    <w:rPr>
      <w:i/>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2026-12-28T12:27:00Z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2227DC6EC5CA466586B5462EE2AA00FD_13</vt:lpwstr>
  </property>
  <property fmtid="{D5CDD505-2E9C-101B-9397-08002B2CF9AE}" pid="3" name="KSOProductBuildVer">
    <vt:lpwstr>2052-12.1.0.16120</vt:lpwstr>
  </property>
  <property fmtid="{D5CDD505-2E9C-101B-9397-08002B2CF9AE}" pid="4" name="commondata">
    <vt:lpwstr>eyJoZGlkIjoiMjJkYmYyOGQwNjU2YTFjYjBlYWQzZDdlZjc2Nzk1ZWYifQ==</vt:lpwstr>
  </property>
</Properties>
</file>