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58BA">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768A29BC">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南昌大学公共卫生学院社会医学与卫生事业管理</w:t>
      </w:r>
    </w:p>
    <w:p w14:paraId="14D9D135">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151A8C8E">
      <w:pPr>
        <w:tabs>
          <w:tab w:val="left" w:pos="2820"/>
        </w:tabs>
        <w:spacing w:line="360" w:lineRule="auto"/>
        <w:contextualSpacing/>
        <w:jc w:val="left"/>
        <w:rPr>
          <w:rFonts w:cs="宋体" w:asciiTheme="minorEastAsia" w:hAnsiTheme="minorEastAsia"/>
          <w:sz w:val="24"/>
        </w:rPr>
      </w:pPr>
    </w:p>
    <w:p w14:paraId="4A2FD38F">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A8F5B05">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34CE3CC">
      <w:pPr>
        <w:spacing w:line="360" w:lineRule="auto"/>
        <w:ind w:firstLine="480" w:firstLineChars="200"/>
        <w:contextualSpacing/>
        <w:jc w:val="left"/>
        <w:rPr>
          <w:rFonts w:hint="eastAsia" w:ascii="微软雅黑" w:hAnsi="微软雅黑" w:eastAsia="微软雅黑" w:cs="微软雅黑"/>
          <w:i w:val="0"/>
          <w:iCs w:val="0"/>
          <w:caps w:val="0"/>
          <w:color w:val="000000"/>
          <w:spacing w:val="0"/>
          <w:sz w:val="21"/>
          <w:szCs w:val="21"/>
          <w:lang w:eastAsia="zh-CN"/>
        </w:rPr>
      </w:pPr>
      <w:r>
        <w:rPr>
          <w:rFonts w:hint="eastAsia" w:cs="宋体" w:asciiTheme="minorEastAsia" w:hAnsiTheme="minorEastAsia"/>
          <w:sz w:val="24"/>
        </w:rPr>
        <w:t>南昌大学公共卫生学院的前身为江西医学院预防医学系，曾历经两次建系</w:t>
      </w:r>
      <w:r>
        <w:rPr>
          <w:rFonts w:hint="eastAsia" w:cs="宋体" w:asciiTheme="minorEastAsia" w:hAnsiTheme="minorEastAsia"/>
          <w:sz w:val="24"/>
          <w:lang w:eastAsia="zh-CN"/>
        </w:rPr>
        <w:t>，</w:t>
      </w:r>
      <w:r>
        <w:rPr>
          <w:rFonts w:hint="eastAsia" w:cs="宋体" w:asciiTheme="minorEastAsia" w:hAnsiTheme="minorEastAsia"/>
          <w:sz w:val="24"/>
        </w:rPr>
        <w:t>2005年合并组建新南昌大学后，更名为南昌大学公共卫生学院。学院设有流行病与卫生统计系、职业与环境健康系、营养与食品药品安全系、卫生政策与管理系、医学检验与检疫系共五个系十一个教研室和实验教学中心、预防医学研究所、循证医学中心、公共卫生技能培训中心和中西部计划学科和服务平台，现有公共卫生与预防医学一级博士点学位、公共卫生与预防医学科学学位、公共卫生专业学位2个一级学科硕士学位授权点，社会医学与卫生事业管理、临床检验诊断学2个二级学科科学学位硕士授权，点其中药理学与毒理学学科进入ESI全球排名前1%</w:t>
      </w:r>
      <w:r>
        <w:rPr>
          <w:rFonts w:hint="eastAsia" w:cs="宋体" w:asciiTheme="minorEastAsia" w:hAnsiTheme="minorEastAsia"/>
          <w:sz w:val="24"/>
          <w:lang w:eastAsia="zh-CN"/>
        </w:rPr>
        <w:t>。学院获有国家虚拟仿真实验教学项目2项，省级特色专业1个，省级品牌专业1个，省级重点实验室1个，省级一流建设专业1个，省级优质课程1门，校级重点学科1个，江西省营养一级学会和预防医学会卫生统计专业委员会挂靠学院。卫生检验与检疫专业为江西省唯一培养高校。</w:t>
      </w:r>
    </w:p>
    <w:p w14:paraId="352884D7">
      <w:pPr>
        <w:spacing w:line="360" w:lineRule="auto"/>
        <w:ind w:firstLine="480" w:firstLineChars="200"/>
        <w:contextualSpacing/>
        <w:jc w:val="left"/>
        <w:rPr>
          <w:rFonts w:hint="eastAsia" w:cs="宋体" w:asciiTheme="minorEastAsia" w:hAnsiTheme="minorEastAsia"/>
          <w:sz w:val="24"/>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为适应全国社会经济发展需求，培养更多公共卫生领域高层次复合型人才。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公共卫生学院决定面向全国开设社会医学与卫生事业管理</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717ABE7C">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 xml:space="preserve">培养目标： </w:t>
      </w:r>
    </w:p>
    <w:p w14:paraId="67364ECB">
      <w:pPr>
        <w:widowControl w:val="0"/>
        <w:numPr>
          <w:ilvl w:val="0"/>
          <w:numId w:val="0"/>
        </w:num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本专业要求学生掌握社会医学与卫生事业管理学坚实系统的基础知识、基本理论和基本技能，熟悉和了解本专业国内外研究前沿及其发展方向。掌握本专业研究的基本方法和基本技术，具有严谨求实的科学作风和开拓创新的进取精神以及独立从事本专业教学和科研工作的能力，达到高年资助教工作水平。掌握1门外国语，完成1篇有一定创新意义的硕士学位论文。</w:t>
      </w:r>
    </w:p>
    <w:p w14:paraId="7790FAD1">
      <w:pPr>
        <w:widowControl w:val="0"/>
        <w:numPr>
          <w:ilvl w:val="0"/>
          <w:numId w:val="0"/>
        </w:num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2ED83397">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14AAF6E4">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独立</w:t>
      </w:r>
      <w:r>
        <w:rPr>
          <w:rFonts w:hint="eastAsia" w:cs="宋体" w:asciiTheme="minorEastAsia" w:hAnsiTheme="minorEastAsia"/>
          <w:sz w:val="24"/>
        </w:rPr>
        <w:t>学科】</w:t>
      </w:r>
      <w:r>
        <w:rPr>
          <w:rFonts w:hint="eastAsia" w:cs="宋体" w:asciiTheme="minorEastAsia" w:hAnsiTheme="minorEastAsia"/>
          <w:sz w:val="24"/>
          <w:lang w:val="en-US" w:eastAsia="zh-CN"/>
        </w:rPr>
        <w:t>社会公共卫生与预防医学领域是相对独立专业，也是医学的重要组成部门；</w:t>
      </w:r>
    </w:p>
    <w:p w14:paraId="66862D1E">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先学习课程后参加全国考试</w:t>
      </w:r>
      <w:r>
        <w:rPr>
          <w:rFonts w:cs="宋体" w:asciiTheme="minorEastAsia" w:hAnsiTheme="minorEastAsia"/>
          <w:sz w:val="24"/>
        </w:rPr>
        <w:t>；</w:t>
      </w:r>
    </w:p>
    <w:p w14:paraId="6EB4C8FB">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全国统考仅考专业综合和英语1门</w:t>
      </w:r>
      <w:r>
        <w:rPr>
          <w:rFonts w:hint="eastAsia" w:cs="宋体" w:asciiTheme="minorEastAsia" w:hAnsiTheme="minorEastAsia"/>
          <w:sz w:val="24"/>
        </w:rPr>
        <w:t>，60分合格难度较低；</w:t>
      </w:r>
    </w:p>
    <w:p w14:paraId="719F3CC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24D42B2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326E5B7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552E9E1">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3605B2B1">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5D6A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B7CC93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社会医学与卫生事业管理专业课程设置</w:t>
            </w:r>
          </w:p>
        </w:tc>
      </w:tr>
      <w:tr w14:paraId="06E6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1031827">
            <w:pPr>
              <w:rPr>
                <w:rFonts w:hint="eastAsia" w:eastAsia="宋体" w:cs="微软雅黑"/>
                <w:b/>
                <w:bCs/>
                <w:color w:val="000000"/>
                <w:sz w:val="21"/>
                <w:szCs w:val="21"/>
                <w:lang w:val="en-US" w:eastAsia="zh-CN" w:bidi="ar"/>
              </w:rPr>
            </w:pPr>
          </w:p>
          <w:p w14:paraId="45B5DDEA">
            <w:pPr>
              <w:rPr>
                <w:rFonts w:hint="eastAsia" w:eastAsia="宋体" w:cs="微软雅黑"/>
                <w:b/>
                <w:bCs/>
                <w:color w:val="000000"/>
                <w:sz w:val="21"/>
                <w:szCs w:val="21"/>
                <w:lang w:val="en-US" w:eastAsia="zh-CN" w:bidi="ar"/>
              </w:rPr>
            </w:pPr>
          </w:p>
          <w:p w14:paraId="1A3985EF">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3BDCB87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6433514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2EF0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79C4FD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1EF40DB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29164D0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1E05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BBDAE08">
            <w:pPr>
              <w:pStyle w:val="2"/>
              <w:widowControl/>
              <w:spacing w:before="225" w:beforeAutospacing="0" w:after="75" w:afterAutospacing="0"/>
              <w:jc w:val="center"/>
              <w:rPr>
                <w:rFonts w:hint="default"/>
                <w:lang w:val="en-US" w:eastAsia="zh-CN"/>
              </w:rPr>
            </w:pPr>
          </w:p>
          <w:p w14:paraId="75B997A3">
            <w:pPr>
              <w:rPr>
                <w:rFonts w:hint="default" w:eastAsia="宋体" w:cs="微软雅黑"/>
                <w:b w:val="0"/>
                <w:color w:val="000000"/>
                <w:sz w:val="21"/>
                <w:szCs w:val="21"/>
                <w:lang w:val="en-US" w:eastAsia="zh-CN" w:bidi="ar"/>
              </w:rPr>
            </w:pPr>
          </w:p>
          <w:p w14:paraId="4BCFC797">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4A770FA7">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576FF91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社会医学</w:t>
            </w:r>
          </w:p>
        </w:tc>
        <w:tc>
          <w:tcPr>
            <w:tcW w:w="3472" w:type="dxa"/>
            <w:noWrap w:val="0"/>
            <w:vAlign w:val="top"/>
          </w:tcPr>
          <w:p w14:paraId="145A3A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卫生事业管理学</w:t>
            </w:r>
          </w:p>
        </w:tc>
      </w:tr>
      <w:tr w14:paraId="3B08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550EDF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B892D2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高级公共卫生学</w:t>
            </w:r>
          </w:p>
        </w:tc>
        <w:tc>
          <w:tcPr>
            <w:tcW w:w="3472" w:type="dxa"/>
            <w:noWrap w:val="0"/>
            <w:vAlign w:val="top"/>
          </w:tcPr>
          <w:p w14:paraId="4CB3F49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医用统计学</w:t>
            </w:r>
          </w:p>
        </w:tc>
      </w:tr>
      <w:tr w14:paraId="447C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F83555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253DC1E">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eastAsia" w:eastAsia="宋体" w:cs="微软雅黑"/>
                <w:b w:val="0"/>
                <w:bCs/>
                <w:color w:val="000000"/>
                <w:sz w:val="21"/>
                <w:szCs w:val="21"/>
                <w:lang w:val="en-US" w:eastAsia="zh-CN" w:bidi="ar"/>
              </w:rPr>
              <w:t>卫生法律法规</w:t>
            </w:r>
          </w:p>
        </w:tc>
        <w:tc>
          <w:tcPr>
            <w:tcW w:w="3472" w:type="dxa"/>
            <w:noWrap w:val="0"/>
            <w:vAlign w:val="top"/>
          </w:tcPr>
          <w:p w14:paraId="5623167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健康教育学</w:t>
            </w:r>
          </w:p>
        </w:tc>
      </w:tr>
      <w:tr w14:paraId="5BFD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F546A0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612AC3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卫生经济学</w:t>
            </w:r>
          </w:p>
        </w:tc>
        <w:tc>
          <w:tcPr>
            <w:tcW w:w="3472" w:type="dxa"/>
            <w:noWrap w:val="0"/>
            <w:vAlign w:val="top"/>
          </w:tcPr>
          <w:p w14:paraId="02CB496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医院管理学</w:t>
            </w:r>
          </w:p>
        </w:tc>
      </w:tr>
      <w:tr w14:paraId="3BDF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noWrap w:val="0"/>
            <w:vAlign w:val="center"/>
          </w:tcPr>
          <w:p w14:paraId="0670074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09CC2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社区医学</w:t>
            </w:r>
          </w:p>
        </w:tc>
        <w:tc>
          <w:tcPr>
            <w:tcW w:w="3472" w:type="dxa"/>
            <w:noWrap w:val="0"/>
            <w:vAlign w:val="top"/>
          </w:tcPr>
          <w:p w14:paraId="5CF39C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全科医学</w:t>
            </w:r>
          </w:p>
        </w:tc>
      </w:tr>
    </w:tbl>
    <w:p w14:paraId="5DE312B8">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2DA94297">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37AF40B0">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报考条件：</w:t>
      </w:r>
    </w:p>
    <w:p w14:paraId="68858208">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48FB554C">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3A635B2A">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6DBA658C">
      <w:pPr>
        <w:spacing w:line="360" w:lineRule="auto"/>
        <w:ind w:firstLine="482" w:firstLineChars="200"/>
        <w:contextualSpacing/>
        <w:jc w:val="left"/>
        <w:rPr>
          <w:rFonts w:hint="eastAsia" w:cs="宋体" w:asciiTheme="minorEastAsia" w:hAnsiTheme="minorEastAsia"/>
          <w:b/>
          <w:bCs/>
          <w:color w:val="FF0000"/>
          <w:sz w:val="24"/>
          <w:lang w:val="en-US" w:eastAsia="zh-CN"/>
        </w:rPr>
      </w:pPr>
      <w:r>
        <w:rPr>
          <w:rFonts w:hint="eastAsia" w:ascii="宋体" w:hAnsi="宋体" w:eastAsia="宋体" w:cs="宋体"/>
          <w:b/>
          <w:bCs/>
          <w:color w:val="FF0000"/>
          <w:sz w:val="24"/>
          <w:szCs w:val="24"/>
          <w:lang w:val="en-US" w:eastAsia="zh-CN"/>
        </w:rPr>
        <w:t>注：</w:t>
      </w:r>
      <w:r>
        <w:rPr>
          <w:rFonts w:hint="eastAsia" w:ascii="宋体" w:hAnsi="宋体" w:eastAsia="宋体" w:cs="宋体"/>
          <w:b/>
          <w:bCs/>
          <w:color w:val="FF0000"/>
          <w:sz w:val="24"/>
          <w:szCs w:val="24"/>
        </w:rPr>
        <w:t>获得医学或理学或管理学或工学学士学位，且近五年已发表或出版了与申请学位专业相关的学术论文、专著或其他成果，排名前三有效。</w:t>
      </w:r>
    </w:p>
    <w:p w14:paraId="07A1FC57">
      <w:pPr>
        <w:spacing w:line="360" w:lineRule="auto"/>
        <w:contextualSpacing/>
        <w:jc w:val="left"/>
        <w:rPr>
          <w:rFonts w:cs="宋体" w:asciiTheme="minorEastAsia" w:hAnsiTheme="minorEastAsia"/>
          <w:sz w:val="24"/>
        </w:rPr>
      </w:pPr>
    </w:p>
    <w:p w14:paraId="35D47B0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63C67BAF">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w:t>
      </w:r>
      <w:bookmarkStart w:id="0" w:name="_GoBack"/>
      <w:bookmarkEnd w:id="0"/>
      <w:r>
        <w:rPr>
          <w:rFonts w:hint="eastAsia" w:cs="仿宋_GB2312" w:asciiTheme="minorEastAsia" w:hAnsiTheme="minorEastAsia"/>
          <w:color w:val="000000"/>
        </w:rPr>
        <w:t>费</w:t>
      </w:r>
      <w:r>
        <w:rPr>
          <w:rFonts w:hint="eastAsia" w:cs="仿宋_GB2312" w:asciiTheme="minorEastAsia" w:hAnsiTheme="minorEastAsia"/>
          <w:color w:val="000000"/>
          <w:lang w:eastAsia="zh-CN"/>
        </w:rPr>
        <w:t>：</w:t>
      </w:r>
      <w:r>
        <w:rPr>
          <w:rFonts w:hint="eastAsia" w:cs="仿宋_GB2312" w:asciiTheme="minorEastAsia" w:hAnsiTheme="minorEastAsia"/>
          <w:color w:val="000000"/>
          <w:lang w:val="en-US" w:eastAsia="zh-CN"/>
        </w:rPr>
        <w:t>161</w:t>
      </w:r>
      <w:r>
        <w:rPr>
          <w:rFonts w:hint="eastAsia" w:cs="仿宋_GB2312" w:asciiTheme="minorEastAsia" w:hAnsiTheme="minorEastAsia"/>
          <w:color w:val="000000"/>
        </w:rPr>
        <w:t>00元</w:t>
      </w:r>
    </w:p>
    <w:p w14:paraId="570CAE1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论文答辩费</w:t>
      </w:r>
      <w:r>
        <w:rPr>
          <w:rFonts w:hint="eastAsia" w:cs="仿宋_GB2312" w:asciiTheme="minorEastAsia" w:hAnsiTheme="minorEastAsia"/>
          <w:color w:val="000000"/>
          <w:lang w:eastAsia="zh-CN"/>
        </w:rPr>
        <w:t>：</w:t>
      </w:r>
      <w:r>
        <w:rPr>
          <w:rFonts w:hint="eastAsia" w:cs="仿宋_GB2312" w:asciiTheme="minorEastAsia" w:hAnsiTheme="minorEastAsia"/>
          <w:color w:val="000000"/>
        </w:rPr>
        <w:t>1</w:t>
      </w:r>
      <w:r>
        <w:rPr>
          <w:rFonts w:hint="eastAsia" w:cs="仿宋_GB2312" w:asciiTheme="minorEastAsia" w:hAnsiTheme="minorEastAsia"/>
          <w:color w:val="000000"/>
          <w:lang w:val="en-US" w:eastAsia="zh-CN"/>
        </w:rPr>
        <w:t>4</w:t>
      </w:r>
      <w:r>
        <w:rPr>
          <w:rFonts w:hint="eastAsia" w:cs="仿宋_GB2312" w:asciiTheme="minorEastAsia" w:hAnsiTheme="minorEastAsia"/>
          <w:color w:val="000000"/>
        </w:rPr>
        <w:t>000元</w:t>
      </w:r>
    </w:p>
    <w:p w14:paraId="4D0F69B0">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6644178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2D46C9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724ACD3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474DC3BA">
      <w:pPr>
        <w:spacing w:line="360" w:lineRule="auto"/>
        <w:contextualSpacing/>
        <w:jc w:val="left"/>
        <w:rPr>
          <w:rFonts w:cs="宋体" w:asciiTheme="minorEastAsia" w:hAnsiTheme="minorEastAsia"/>
          <w:sz w:val="24"/>
        </w:rPr>
      </w:pPr>
    </w:p>
    <w:p w14:paraId="345F5291">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3E4DE7A">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654C6B8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249D30D4">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2F2C7689">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65466B1F">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6AE0839A">
      <w:pPr>
        <w:spacing w:line="360" w:lineRule="auto"/>
        <w:contextualSpacing/>
        <w:jc w:val="left"/>
        <w:rPr>
          <w:rFonts w:cs="宋体" w:asciiTheme="minorEastAsia" w:hAnsiTheme="minorEastAsia"/>
          <w:sz w:val="24"/>
        </w:rPr>
      </w:pPr>
    </w:p>
    <w:p w14:paraId="3D72CFA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7AB4E273">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42E3DB94">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C49C7">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215DBB"/>
    <w:rsid w:val="034C2839"/>
    <w:rsid w:val="040B4D5A"/>
    <w:rsid w:val="048E0AC1"/>
    <w:rsid w:val="08206641"/>
    <w:rsid w:val="09903C9B"/>
    <w:rsid w:val="0BEB6F66"/>
    <w:rsid w:val="0F22295F"/>
    <w:rsid w:val="1193257A"/>
    <w:rsid w:val="125E7D71"/>
    <w:rsid w:val="127B5F94"/>
    <w:rsid w:val="13641B1C"/>
    <w:rsid w:val="162A63E6"/>
    <w:rsid w:val="199E1D42"/>
    <w:rsid w:val="23081069"/>
    <w:rsid w:val="236D3D21"/>
    <w:rsid w:val="27EC1B84"/>
    <w:rsid w:val="2C2451AD"/>
    <w:rsid w:val="2C6426F1"/>
    <w:rsid w:val="32AE5892"/>
    <w:rsid w:val="346266E6"/>
    <w:rsid w:val="3A541CD3"/>
    <w:rsid w:val="3B420980"/>
    <w:rsid w:val="3BE155F6"/>
    <w:rsid w:val="42330C65"/>
    <w:rsid w:val="446B64B3"/>
    <w:rsid w:val="452C63A7"/>
    <w:rsid w:val="4B9B6C76"/>
    <w:rsid w:val="4CD410EB"/>
    <w:rsid w:val="4E8C7B5A"/>
    <w:rsid w:val="4EA60DAF"/>
    <w:rsid w:val="508605D9"/>
    <w:rsid w:val="520E5D83"/>
    <w:rsid w:val="56D96AA1"/>
    <w:rsid w:val="58B32E31"/>
    <w:rsid w:val="5B182775"/>
    <w:rsid w:val="5BFB3C44"/>
    <w:rsid w:val="61961A2F"/>
    <w:rsid w:val="62255368"/>
    <w:rsid w:val="63456FA8"/>
    <w:rsid w:val="6AC0430E"/>
    <w:rsid w:val="6F255735"/>
    <w:rsid w:val="71E73E39"/>
    <w:rsid w:val="776B3A09"/>
    <w:rsid w:val="79AC62D1"/>
    <w:rsid w:val="7BC10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autoRedefine/>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rFonts w:cs="Times New Roman"/>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1806</Words>
  <Characters>1825</Characters>
  <Lines>0</Lines>
  <Paragraphs>0</Paragraphs>
  <TotalTime>0</TotalTime>
  <ScaleCrop>false</ScaleCrop>
  <LinksUpToDate>false</LinksUpToDate>
  <CharactersWithSpaces>1830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2026-02-12T09:09:08Z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F099286059EE4DC9A3043A282EAFB36E_13</vt:lpwstr>
  </property>
  <property fmtid="{D5CDD505-2E9C-101B-9397-08002B2CF9AE}" pid="4" name="KSOTemplateDocerSaveRecord">
    <vt:lpwstr>eyJoZGlkIjoiNGQ5ODQ5N2Q1NmI0ZDAwYTJiMTcyMmU3ZjhhMWE4NmEifQ==</vt:lpwstr>
  </property>
</Properties>
</file>