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BECDEC">
      <w:pPr>
        <w:spacing w:line="360" w:lineRule="auto"/>
        <w:contextualSpacing/>
        <w:jc w:val="center"/>
        <w:rPr>
          <w:rFonts w:hint="eastAsia" w:cs="宋体" w:asciiTheme="majorEastAsia" w:hAnsiTheme="majorEastAsia" w:eastAsiaTheme="majorEastAsia"/>
          <w:b/>
          <w:bCs/>
          <w:sz w:val="36"/>
          <w:szCs w:val="36"/>
        </w:rPr>
      </w:pPr>
      <w:r>
        <w:drawing>
          <wp:inline distT="0" distB="0" distL="114300" distR="114300">
            <wp:extent cx="4281170" cy="1411605"/>
            <wp:effectExtent l="0" t="0" r="5080"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281170" cy="1411605"/>
                    </a:xfrm>
                    <a:prstGeom prst="rect">
                      <a:avLst/>
                    </a:prstGeom>
                    <a:noFill/>
                    <a:ln>
                      <a:noFill/>
                    </a:ln>
                  </pic:spPr>
                </pic:pic>
              </a:graphicData>
            </a:graphic>
          </wp:inline>
        </w:drawing>
      </w:r>
    </w:p>
    <w:p w14:paraId="1BB92A5E">
      <w:pPr>
        <w:spacing w:line="360" w:lineRule="auto"/>
        <w:contextualSpacing/>
        <w:jc w:val="center"/>
        <w:rPr>
          <w:rFonts w:hint="eastAsia" w:cs="宋体" w:asciiTheme="majorEastAsia" w:hAnsiTheme="majorEastAsia" w:eastAsiaTheme="majorEastAsia"/>
          <w:b/>
          <w:bCs/>
          <w:sz w:val="36"/>
          <w:szCs w:val="36"/>
          <w:lang w:val="en-US" w:eastAsia="zh-CN"/>
        </w:rPr>
      </w:pPr>
      <w:r>
        <w:rPr>
          <w:rFonts w:hint="eastAsia" w:cs="宋体" w:asciiTheme="majorEastAsia" w:hAnsiTheme="majorEastAsia" w:eastAsiaTheme="majorEastAsia"/>
          <w:b/>
          <w:bCs/>
          <w:sz w:val="36"/>
          <w:szCs w:val="36"/>
        </w:rPr>
        <w:t>南昌大学</w:t>
      </w:r>
      <w:r>
        <w:rPr>
          <w:rFonts w:hint="eastAsia" w:cs="宋体" w:asciiTheme="majorEastAsia" w:hAnsiTheme="majorEastAsia" w:eastAsiaTheme="majorEastAsia"/>
          <w:b/>
          <w:bCs/>
          <w:sz w:val="36"/>
          <w:szCs w:val="36"/>
          <w:lang w:val="en-US" w:eastAsia="zh-CN"/>
        </w:rPr>
        <w:t>人文</w:t>
      </w:r>
      <w:r>
        <w:rPr>
          <w:rFonts w:hint="eastAsia" w:cs="宋体" w:asciiTheme="majorEastAsia" w:hAnsiTheme="majorEastAsia" w:eastAsiaTheme="majorEastAsia"/>
          <w:b/>
          <w:bCs/>
          <w:sz w:val="36"/>
          <w:szCs w:val="36"/>
        </w:rPr>
        <w:t>学院</w:t>
      </w:r>
      <w:r>
        <w:rPr>
          <w:rFonts w:hint="eastAsia" w:cs="宋体" w:asciiTheme="majorEastAsia" w:hAnsiTheme="majorEastAsia" w:eastAsiaTheme="majorEastAsia"/>
          <w:b/>
          <w:bCs/>
          <w:sz w:val="36"/>
          <w:szCs w:val="36"/>
          <w:lang w:val="en-US" w:eastAsia="zh-CN"/>
        </w:rPr>
        <w:t>外国</w:t>
      </w:r>
      <w:r>
        <w:rPr>
          <w:rFonts w:hint="eastAsia" w:cs="宋体" w:asciiTheme="majorEastAsia" w:hAnsiTheme="majorEastAsia" w:eastAsiaTheme="majorEastAsia"/>
          <w:b/>
          <w:bCs/>
          <w:sz w:val="36"/>
          <w:szCs w:val="36"/>
        </w:rPr>
        <w:t>哲学</w:t>
      </w:r>
      <w:r>
        <w:rPr>
          <w:rFonts w:hint="eastAsia" w:cs="宋体" w:asciiTheme="majorEastAsia" w:hAnsiTheme="majorEastAsia" w:eastAsiaTheme="majorEastAsia"/>
          <w:b/>
          <w:bCs/>
          <w:sz w:val="36"/>
          <w:szCs w:val="36"/>
          <w:lang w:val="en-US" w:eastAsia="zh-CN"/>
        </w:rPr>
        <w:t>专业</w:t>
      </w:r>
    </w:p>
    <w:p w14:paraId="04684CC3">
      <w:pPr>
        <w:spacing w:line="360" w:lineRule="auto"/>
        <w:contextualSpacing/>
        <w:jc w:val="center"/>
        <w:rPr>
          <w:rFonts w:hint="eastAsia" w:cs="宋体" w:asciiTheme="majorEastAsia" w:hAnsiTheme="majorEastAsia" w:eastAsiaTheme="majorEastAsia"/>
          <w:b/>
          <w:bCs/>
          <w:sz w:val="36"/>
          <w:szCs w:val="36"/>
        </w:rPr>
      </w:pPr>
      <w:r>
        <w:rPr>
          <w:rFonts w:hint="eastAsia" w:cs="宋体" w:asciiTheme="majorEastAsia" w:hAnsiTheme="majorEastAsia" w:eastAsiaTheme="majorEastAsia"/>
          <w:b/>
          <w:bCs/>
          <w:sz w:val="36"/>
          <w:szCs w:val="36"/>
        </w:rPr>
        <w:t>同等学力申请硕士学位招生简章</w:t>
      </w:r>
    </w:p>
    <w:p w14:paraId="50405082">
      <w:pPr>
        <w:tabs>
          <w:tab w:val="left" w:pos="2820"/>
        </w:tabs>
        <w:spacing w:line="360" w:lineRule="auto"/>
        <w:contextualSpacing/>
        <w:jc w:val="left"/>
        <w:rPr>
          <w:rFonts w:cs="宋体" w:asciiTheme="minorEastAsia" w:hAnsiTheme="minorEastAsia"/>
          <w:sz w:val="24"/>
        </w:rPr>
      </w:pPr>
    </w:p>
    <w:p w14:paraId="400A6340">
      <w:pPr>
        <w:spacing w:line="360" w:lineRule="auto"/>
        <w:contextualSpacing/>
        <w:jc w:val="left"/>
        <w:rPr>
          <w:rFonts w:hint="default" w:cs="宋体" w:asciiTheme="minorEastAsia" w:hAnsiTheme="minorEastAsia" w:eastAsia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14:textFill>
            <w14:solidFill>
              <w14:schemeClr w14:val="tx1"/>
            </w14:solidFill>
          </w14:textFill>
        </w:rPr>
        <w:t>一、</w:t>
      </w:r>
      <w:r>
        <w:rPr>
          <w:rFonts w:hint="eastAsia" w:cs="宋体" w:asciiTheme="minorEastAsia" w:hAnsiTheme="minorEastAsia"/>
          <w:b/>
          <w:bCs/>
          <w:color w:val="000000" w:themeColor="text1"/>
          <w:sz w:val="24"/>
          <w:lang w:val="en-US" w:eastAsia="zh-CN"/>
          <w14:textFill>
            <w14:solidFill>
              <w14:schemeClr w14:val="tx1"/>
            </w14:solidFill>
          </w14:textFill>
        </w:rPr>
        <w:t>院校简介：</w:t>
      </w:r>
    </w:p>
    <w:p w14:paraId="26518458">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南昌大学是一所“文理工医渗透、学研产用结合”的综合性大学，是江西省人民政府和教育部共建的国家“211工程”重点建设大学。学校现有8个学术类博士学位授权一级学科，45个学术类硕士学位授权一级学科，1种博士专业学位授权和20种硕士专业学位授权以及在职人员以同等学力申请硕士学位授予权。</w:t>
      </w:r>
    </w:p>
    <w:p w14:paraId="773DF646">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人文学院成立于1995年，现有中国语言文学、历史学、哲学3个系，学院现有哲学、中国语言文学2个一级博士点，文化资源与产业管理、历史遗产管理2个二级博士点，中国语言文学、中国史、哲学3个一级学科硕士学位授权点，有中国哲学、科学技术哲学、伦理学、马克思主义哲学、外国哲学、宗教学、文艺学、汉语言文字学、中国古典文献学、中国古代文学、中国现当代文学、比较文学与世界文学、语言学及应用语言学、汉语国际教育、中国史、档案学、国学专业17个二级学科硕士点</w:t>
      </w:r>
      <w:r>
        <w:rPr>
          <w:rFonts w:hint="eastAsia" w:ascii="宋体" w:hAnsi="宋体" w:eastAsia="宋体" w:cs="宋体"/>
          <w:i w:val="0"/>
          <w:iCs w:val="0"/>
          <w:caps w:val="0"/>
          <w:color w:val="000000"/>
          <w:spacing w:val="0"/>
          <w:sz w:val="24"/>
          <w:szCs w:val="24"/>
          <w:shd w:val="clear" w:fill="FFFFFF"/>
          <w:lang w:eastAsia="zh-CN"/>
        </w:rPr>
        <w:t>。</w:t>
      </w:r>
      <w:r>
        <w:rPr>
          <w:rFonts w:hint="eastAsia" w:ascii="宋体" w:hAnsi="宋体" w:eastAsia="宋体" w:cs="宋体"/>
          <w:i w:val="0"/>
          <w:iCs w:val="0"/>
          <w:caps w:val="0"/>
          <w:color w:val="000000"/>
          <w:spacing w:val="0"/>
          <w:sz w:val="24"/>
          <w:szCs w:val="24"/>
          <w:shd w:val="clear" w:fill="FFFFFF"/>
        </w:rPr>
        <w:t>学院现有教职工171人，其中教授47人，副教授32人，具有博士学位教师132人，在读博士1人，占比90.85%。师资队伍实力雄厚，他们中既有德高望重的老一辈学者，也有初露锋芒的青年专家，是科学研究、文化传承创新的中坚力量，学术水准跻身于学界先进行列。</w:t>
      </w:r>
    </w:p>
    <w:p w14:paraId="6C080779">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eastAsia="zh-CN"/>
        </w:rPr>
      </w:pPr>
      <w:r>
        <w:rPr>
          <w:rFonts w:hint="eastAsia" w:ascii="宋体" w:hAnsi="宋体" w:eastAsia="宋体" w:cs="宋体"/>
          <w:i w:val="0"/>
          <w:iCs w:val="0"/>
          <w:caps w:val="0"/>
          <w:color w:val="000000"/>
          <w:spacing w:val="0"/>
          <w:sz w:val="24"/>
          <w:szCs w:val="24"/>
          <w:shd w:val="clear" w:fill="FFFFFF"/>
        </w:rPr>
        <w:t>南昌大学</w:t>
      </w:r>
      <w:r>
        <w:rPr>
          <w:rFonts w:hint="eastAsia" w:ascii="宋体" w:hAnsi="宋体" w:eastAsia="宋体" w:cs="宋体"/>
          <w:i w:val="0"/>
          <w:iCs w:val="0"/>
          <w:caps w:val="0"/>
          <w:color w:val="000000"/>
          <w:spacing w:val="0"/>
          <w:sz w:val="24"/>
          <w:szCs w:val="24"/>
          <w:shd w:val="clear" w:fill="FFFFFF"/>
          <w:lang w:val="en-US" w:eastAsia="zh-CN"/>
        </w:rPr>
        <w:t>人文学院</w:t>
      </w:r>
      <w:r>
        <w:rPr>
          <w:rFonts w:hint="eastAsia" w:ascii="宋体" w:hAnsi="宋体" w:eastAsia="宋体" w:cs="宋体"/>
          <w:i w:val="0"/>
          <w:iCs w:val="0"/>
          <w:caps w:val="0"/>
          <w:color w:val="000000"/>
          <w:spacing w:val="0"/>
          <w:sz w:val="24"/>
          <w:szCs w:val="24"/>
          <w:shd w:val="clear" w:fill="FFFFFF"/>
        </w:rPr>
        <w:t>研究</w:t>
      </w:r>
      <w:r>
        <w:rPr>
          <w:rFonts w:hint="eastAsia" w:ascii="宋体" w:hAnsi="宋体" w:eastAsia="宋体" w:cs="宋体"/>
          <w:i w:val="0"/>
          <w:iCs w:val="0"/>
          <w:caps w:val="0"/>
          <w:color w:val="000000"/>
          <w:spacing w:val="0"/>
          <w:sz w:val="24"/>
          <w:szCs w:val="24"/>
          <w:shd w:val="clear" w:fill="FFFFFF"/>
          <w:lang w:val="en-US" w:eastAsia="zh-CN"/>
        </w:rPr>
        <w:t>决定面向全国开设外国哲学</w:t>
      </w:r>
      <w:r>
        <w:rPr>
          <w:rFonts w:hint="eastAsia" w:ascii="宋体" w:hAnsi="宋体" w:eastAsia="宋体" w:cs="宋体"/>
          <w:i w:val="0"/>
          <w:iCs w:val="0"/>
          <w:caps w:val="0"/>
          <w:color w:val="000000"/>
          <w:spacing w:val="0"/>
          <w:sz w:val="24"/>
          <w:szCs w:val="24"/>
          <w:shd w:val="clear" w:fill="FFFFFF"/>
        </w:rPr>
        <w:t>专业同等学力申请硕士学位课程研修班。</w:t>
      </w:r>
    </w:p>
    <w:p w14:paraId="26545F88">
      <w:pPr>
        <w:spacing w:line="360" w:lineRule="auto"/>
        <w:contextualSpacing/>
        <w:jc w:val="left"/>
        <w:rPr>
          <w:rFonts w:hint="eastAsia" w:cs="宋体" w:asciiTheme="minorEastAsia" w:hAnsiTheme="minorEastAsia"/>
          <w:sz w:val="24"/>
        </w:rPr>
      </w:pPr>
    </w:p>
    <w:p w14:paraId="5F8BE625">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培养目标：</w:t>
      </w:r>
    </w:p>
    <w:p w14:paraId="02998547">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lang w:val="en-US" w:eastAsia="zh-CN"/>
        </w:rPr>
        <w:t xml:space="preserve"> 本专业主要是</w:t>
      </w:r>
      <w:r>
        <w:rPr>
          <w:rFonts w:hint="eastAsia" w:ascii="宋体" w:hAnsi="宋体" w:eastAsia="宋体" w:cs="宋体"/>
          <w:i w:val="0"/>
          <w:iCs w:val="0"/>
          <w:caps w:val="0"/>
          <w:color w:val="000000"/>
          <w:spacing w:val="0"/>
          <w:sz w:val="24"/>
          <w:szCs w:val="24"/>
          <w:shd w:val="clear" w:fill="FFFFFF"/>
        </w:rPr>
        <w:t>培养热爱祖国，拥护中国共产党的领导，拥护社会主义制度，遵纪守法，品德良好，具有服务国家、服务人民的社会责任感，掌握本学科坚实的基础理论和系统的专业知识，具有创新精神、创新能力和从事科学研究、教学、管理等工作能力的高层次学术型专门人才，以及具有较强解决实际问题的能力、能够承担专业技术或管理工作、具有良好职业素养的高层次应用型专门人才。</w:t>
      </w:r>
    </w:p>
    <w:p w14:paraId="07C478AE">
      <w:pPr>
        <w:spacing w:line="360" w:lineRule="auto"/>
        <w:ind w:firstLine="480" w:firstLineChars="200"/>
        <w:contextualSpacing/>
        <w:jc w:val="left"/>
        <w:rPr>
          <w:rFonts w:hint="default" w:ascii="宋体" w:hAnsi="宋体" w:eastAsia="宋体" w:cs="宋体"/>
          <w:i w:val="0"/>
          <w:iCs w:val="0"/>
          <w:caps w:val="0"/>
          <w:color w:val="000000"/>
          <w:spacing w:val="0"/>
          <w:sz w:val="24"/>
          <w:szCs w:val="24"/>
          <w:shd w:val="clear" w:fill="FFFFFF"/>
          <w:lang w:val="en-US" w:eastAsia="zh-CN"/>
        </w:rPr>
      </w:pPr>
    </w:p>
    <w:p w14:paraId="75E49ED2">
      <w:pPr>
        <w:numPr>
          <w:ilvl w:val="0"/>
          <w:numId w:val="1"/>
        </w:num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报读优势：</w:t>
      </w:r>
    </w:p>
    <w:p w14:paraId="77C398A4">
      <w:pPr>
        <w:spacing w:line="360" w:lineRule="auto"/>
        <w:ind w:firstLine="480" w:firstLineChars="200"/>
        <w:contextualSpacing/>
        <w:jc w:val="left"/>
        <w:rPr>
          <w:rFonts w:hint="default" w:cs="宋体" w:asciiTheme="minorEastAsia" w:hAnsiTheme="minorEastAsia" w:eastAsiaTheme="minorEastAsia"/>
          <w:sz w:val="24"/>
          <w:lang w:val="en-US" w:eastAsia="zh-CN"/>
        </w:rPr>
      </w:pPr>
      <w:r>
        <w:rPr>
          <w:rFonts w:hint="eastAsia" w:cs="宋体" w:asciiTheme="minorEastAsia" w:hAnsiTheme="minorEastAsia"/>
          <w:sz w:val="24"/>
        </w:rPr>
        <w:t>【</w:t>
      </w:r>
      <w:r>
        <w:rPr>
          <w:rFonts w:hint="eastAsia" w:cs="宋体" w:asciiTheme="minorEastAsia" w:hAnsiTheme="minorEastAsia"/>
          <w:sz w:val="24"/>
          <w:lang w:val="en-US" w:eastAsia="zh-CN"/>
        </w:rPr>
        <w:t>重点</w:t>
      </w:r>
      <w:r>
        <w:rPr>
          <w:rFonts w:hint="eastAsia" w:cs="宋体" w:asciiTheme="minorEastAsia" w:hAnsiTheme="minorEastAsia"/>
          <w:sz w:val="24"/>
        </w:rPr>
        <w:t>学科】</w:t>
      </w:r>
      <w:r>
        <w:rPr>
          <w:rFonts w:hint="eastAsia" w:cs="宋体" w:asciiTheme="minorEastAsia" w:hAnsiTheme="minorEastAsia"/>
          <w:sz w:val="24"/>
          <w:lang w:val="en-US" w:eastAsia="zh-CN"/>
        </w:rPr>
        <w:t>学院拥有众多文学相关硕士学位重点学科，宽口径、精专业；</w:t>
      </w:r>
    </w:p>
    <w:p w14:paraId="6FC221F1">
      <w:pPr>
        <w:spacing w:line="360" w:lineRule="auto"/>
        <w:ind w:firstLine="480" w:firstLineChars="200"/>
        <w:contextualSpacing/>
        <w:jc w:val="left"/>
        <w:rPr>
          <w:rFonts w:cs="宋体" w:asciiTheme="minorEastAsia" w:hAnsiTheme="minorEastAsia"/>
          <w:sz w:val="24"/>
        </w:rPr>
      </w:pPr>
      <w:r>
        <w:rPr>
          <w:rFonts w:cs="宋体" w:asciiTheme="minorEastAsia" w:hAnsiTheme="minorEastAsia"/>
          <w:sz w:val="24"/>
        </w:rPr>
        <w:t>【免试入学】学员满足报读条件免试入学，</w:t>
      </w:r>
      <w:r>
        <w:rPr>
          <w:rFonts w:hint="eastAsia" w:cs="宋体" w:asciiTheme="minorEastAsia" w:hAnsiTheme="minorEastAsia"/>
          <w:sz w:val="24"/>
          <w:lang w:val="en-US" w:eastAsia="zh-CN"/>
        </w:rPr>
        <w:t>可跨专业报读，先学习后考试</w:t>
      </w:r>
      <w:r>
        <w:rPr>
          <w:rFonts w:cs="宋体" w:asciiTheme="minorEastAsia" w:hAnsiTheme="minorEastAsia"/>
          <w:sz w:val="24"/>
        </w:rPr>
        <w:t>；</w:t>
      </w:r>
    </w:p>
    <w:p w14:paraId="7332D73C">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【申硕仅考</w:t>
      </w:r>
      <w:r>
        <w:rPr>
          <w:rFonts w:hint="eastAsia" w:cs="宋体" w:asciiTheme="minorEastAsia" w:hAnsiTheme="minorEastAsia"/>
          <w:sz w:val="24"/>
          <w:lang w:val="en-US" w:eastAsia="zh-CN"/>
        </w:rPr>
        <w:t>2</w:t>
      </w:r>
      <w:r>
        <w:rPr>
          <w:rFonts w:hint="eastAsia" w:cs="宋体" w:asciiTheme="minorEastAsia" w:hAnsiTheme="minorEastAsia"/>
          <w:sz w:val="24"/>
        </w:rPr>
        <w:t>科】满足条件的学员可申请申硕考试，仅考</w:t>
      </w:r>
      <w:r>
        <w:rPr>
          <w:rFonts w:hint="eastAsia" w:cs="宋体" w:asciiTheme="minorEastAsia" w:hAnsiTheme="minorEastAsia"/>
          <w:sz w:val="24"/>
          <w:lang w:val="en-US" w:eastAsia="zh-CN"/>
        </w:rPr>
        <w:t>学科综合+</w:t>
      </w:r>
      <w:r>
        <w:rPr>
          <w:rFonts w:hint="eastAsia" w:cs="宋体" w:asciiTheme="minorEastAsia" w:hAnsiTheme="minorEastAsia"/>
          <w:sz w:val="24"/>
        </w:rPr>
        <w:t>外语</w:t>
      </w:r>
      <w:r>
        <w:rPr>
          <w:rFonts w:hint="eastAsia" w:cs="宋体" w:asciiTheme="minorEastAsia" w:hAnsiTheme="minorEastAsia"/>
          <w:sz w:val="24"/>
          <w:lang w:val="en-US" w:eastAsia="zh-CN"/>
        </w:rPr>
        <w:t>2</w:t>
      </w:r>
      <w:r>
        <w:rPr>
          <w:rFonts w:hint="eastAsia" w:cs="宋体" w:asciiTheme="minorEastAsia" w:hAnsiTheme="minorEastAsia"/>
          <w:sz w:val="24"/>
        </w:rPr>
        <w:t>科，百分制60分合格，难度较低；</w:t>
      </w:r>
    </w:p>
    <w:p w14:paraId="447CB831">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【考试机会多】学员有</w:t>
      </w:r>
      <w:r>
        <w:rPr>
          <w:rFonts w:hint="eastAsia" w:cs="宋体" w:asciiTheme="minorEastAsia" w:hAnsiTheme="minorEastAsia"/>
          <w:sz w:val="24"/>
          <w:lang w:val="en-US" w:eastAsia="zh-CN"/>
        </w:rPr>
        <w:t>4</w:t>
      </w:r>
      <w:r>
        <w:rPr>
          <w:rFonts w:hint="eastAsia" w:cs="宋体" w:asciiTheme="minorEastAsia" w:hAnsiTheme="minorEastAsia"/>
          <w:sz w:val="24"/>
        </w:rPr>
        <w:t>次申硕考试机会，</w:t>
      </w:r>
      <w:r>
        <w:rPr>
          <w:rFonts w:hint="eastAsia" w:cs="宋体" w:asciiTheme="minorEastAsia" w:hAnsiTheme="minorEastAsia"/>
          <w:sz w:val="24"/>
          <w:lang w:val="en-US" w:eastAsia="zh-CN"/>
        </w:rPr>
        <w:t>多次机会考</w:t>
      </w:r>
      <w:r>
        <w:rPr>
          <w:rFonts w:hint="eastAsia" w:cs="宋体" w:asciiTheme="minorEastAsia" w:hAnsiTheme="minorEastAsia"/>
          <w:sz w:val="24"/>
        </w:rPr>
        <w:t>大大提升申硕通过率；</w:t>
      </w:r>
    </w:p>
    <w:p w14:paraId="7A13450D">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【灵活授课】设面授班、网络班，学员可根据自身实际情况选择学习班型；</w:t>
      </w:r>
    </w:p>
    <w:p w14:paraId="16FA7C12">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【拓展人脉】不定期举办线上主题讲座、开展小组论坛话题讨论，为学员提供更多的交流机会与人际拓展平台。</w:t>
      </w:r>
    </w:p>
    <w:p w14:paraId="425838FE">
      <w:pPr>
        <w:tabs>
          <w:tab w:val="left" w:pos="4920"/>
        </w:tabs>
        <w:spacing w:line="360" w:lineRule="auto"/>
        <w:contextualSpacing/>
        <w:jc w:val="left"/>
        <w:rPr>
          <w:rFonts w:cs="宋体" w:asciiTheme="minorEastAsia" w:hAnsiTheme="minorEastAsia"/>
          <w:sz w:val="24"/>
        </w:rPr>
      </w:pPr>
      <w:r>
        <w:rPr>
          <w:rFonts w:cs="宋体" w:asciiTheme="minorEastAsia" w:hAnsiTheme="minorEastAsia"/>
          <w:sz w:val="24"/>
        </w:rPr>
        <w:tab/>
      </w:r>
    </w:p>
    <w:p w14:paraId="07C5B7E6">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课程设置</w:t>
      </w:r>
      <w:r>
        <w:rPr>
          <w:rFonts w:hint="eastAsia" w:cs="宋体" w:asciiTheme="minorEastAsia" w:hAnsiTheme="minorEastAsia"/>
          <w:b/>
          <w:bCs/>
          <w:color w:val="000000" w:themeColor="text1"/>
          <w:sz w:val="24"/>
          <w:lang w:eastAsia="zh-CN"/>
          <w14:textFill>
            <w14:solidFill>
              <w14:schemeClr w14:val="tx1"/>
            </w14:solidFill>
          </w14:textFill>
        </w:rPr>
        <w:t>：</w:t>
      </w:r>
    </w:p>
    <w:tbl>
      <w:tblPr>
        <w:tblStyle w:val="6"/>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3660"/>
        <w:gridCol w:w="3472"/>
      </w:tblGrid>
      <w:tr w14:paraId="1D052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1" w:type="dxa"/>
            <w:gridSpan w:val="3"/>
            <w:noWrap w:val="0"/>
            <w:vAlign w:val="top"/>
          </w:tcPr>
          <w:p w14:paraId="63983211">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4"/>
                <w:szCs w:val="24"/>
                <w:lang w:val="en-US" w:eastAsia="zh-CN" w:bidi="ar"/>
              </w:rPr>
              <w:t>外国哲学专业课程设置</w:t>
            </w:r>
          </w:p>
        </w:tc>
      </w:tr>
      <w:tr w14:paraId="69053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0527EE1C">
            <w:pPr>
              <w:rPr>
                <w:rFonts w:hint="eastAsia" w:eastAsia="宋体" w:cs="微软雅黑"/>
                <w:b/>
                <w:bCs/>
                <w:color w:val="000000"/>
                <w:sz w:val="21"/>
                <w:szCs w:val="21"/>
                <w:lang w:val="en-US" w:eastAsia="zh-CN" w:bidi="ar"/>
              </w:rPr>
            </w:pPr>
          </w:p>
          <w:p w14:paraId="60B6C3E0">
            <w:pPr>
              <w:rPr>
                <w:rFonts w:hint="eastAsia" w:eastAsia="宋体" w:cs="微软雅黑"/>
                <w:b/>
                <w:bCs/>
                <w:color w:val="000000"/>
                <w:sz w:val="21"/>
                <w:szCs w:val="21"/>
                <w:lang w:val="en-US" w:eastAsia="zh-CN" w:bidi="ar"/>
              </w:rPr>
            </w:pPr>
          </w:p>
          <w:p w14:paraId="5BFD4318">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基础课</w:t>
            </w:r>
          </w:p>
        </w:tc>
        <w:tc>
          <w:tcPr>
            <w:tcW w:w="3660" w:type="dxa"/>
            <w:noWrap w:val="0"/>
            <w:vAlign w:val="top"/>
          </w:tcPr>
          <w:p w14:paraId="5650E016">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2AD85D02">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自然辩证法概论</w:t>
            </w:r>
          </w:p>
        </w:tc>
      </w:tr>
      <w:tr w14:paraId="10FFC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7B087380">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44EDF7EC">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472" w:type="dxa"/>
            <w:noWrap w:val="0"/>
            <w:vAlign w:val="top"/>
          </w:tcPr>
          <w:p w14:paraId="5B58C6D9">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r>
      <w:tr w14:paraId="2AEFB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666320B1">
            <w:pPr>
              <w:pStyle w:val="2"/>
              <w:widowControl/>
              <w:spacing w:before="225" w:beforeAutospacing="0" w:after="75" w:afterAutospacing="0"/>
              <w:jc w:val="center"/>
              <w:rPr>
                <w:rFonts w:hint="default"/>
                <w:lang w:val="en-US" w:eastAsia="zh-CN"/>
              </w:rPr>
            </w:pPr>
          </w:p>
          <w:p w14:paraId="6B92043D">
            <w:pPr>
              <w:rPr>
                <w:rFonts w:hint="default" w:eastAsia="宋体" w:cs="微软雅黑"/>
                <w:b w:val="0"/>
                <w:color w:val="000000"/>
                <w:sz w:val="21"/>
                <w:szCs w:val="21"/>
                <w:lang w:val="en-US" w:eastAsia="zh-CN" w:bidi="ar"/>
              </w:rPr>
            </w:pPr>
          </w:p>
          <w:p w14:paraId="118EFB7E">
            <w:pPr>
              <w:rPr>
                <w:rFonts w:hint="eastAsia"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 xml:space="preserve">   </w:t>
            </w:r>
          </w:p>
          <w:p w14:paraId="0B169939">
            <w:pPr>
              <w:rPr>
                <w:rFonts w:hint="eastAsia" w:eastAsia="宋体" w:cs="微软雅黑"/>
                <w:b w:val="0"/>
                <w:color w:val="000000"/>
                <w:sz w:val="21"/>
                <w:szCs w:val="21"/>
                <w:lang w:val="en-US" w:eastAsia="zh-CN" w:bidi="ar"/>
              </w:rPr>
            </w:pPr>
          </w:p>
          <w:p w14:paraId="6DECECE6">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1A36337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中国哲学研究</w:t>
            </w:r>
          </w:p>
        </w:tc>
        <w:tc>
          <w:tcPr>
            <w:tcW w:w="3472" w:type="dxa"/>
            <w:noWrap w:val="0"/>
            <w:vAlign w:val="top"/>
          </w:tcPr>
          <w:p w14:paraId="014C4D3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西方哲学研究</w:t>
            </w:r>
          </w:p>
        </w:tc>
      </w:tr>
      <w:tr w14:paraId="786DA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3782C2B0">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20C2AFAC">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哲学方法论</w:t>
            </w:r>
          </w:p>
        </w:tc>
        <w:tc>
          <w:tcPr>
            <w:tcW w:w="3472" w:type="dxa"/>
            <w:noWrap w:val="0"/>
            <w:vAlign w:val="top"/>
          </w:tcPr>
          <w:p w14:paraId="6E75D187">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中西文化比较研究</w:t>
            </w:r>
          </w:p>
        </w:tc>
      </w:tr>
      <w:tr w14:paraId="1C81E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71592091">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1A5024D4">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古希腊哲学研究</w:t>
            </w:r>
          </w:p>
        </w:tc>
        <w:tc>
          <w:tcPr>
            <w:tcW w:w="3472" w:type="dxa"/>
            <w:noWrap w:val="0"/>
            <w:vAlign w:val="top"/>
          </w:tcPr>
          <w:p w14:paraId="5972A299">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中世纪哲学研究</w:t>
            </w:r>
          </w:p>
        </w:tc>
      </w:tr>
      <w:tr w14:paraId="66F5D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014FA469">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2A354E56">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b w:val="0"/>
                <w:bCs/>
                <w:sz w:val="21"/>
                <w:szCs w:val="21"/>
              </w:rPr>
              <w:t>德国古典哲学研究</w:t>
            </w:r>
          </w:p>
        </w:tc>
        <w:tc>
          <w:tcPr>
            <w:tcW w:w="3472" w:type="dxa"/>
            <w:noWrap w:val="0"/>
            <w:vAlign w:val="top"/>
          </w:tcPr>
          <w:p w14:paraId="34B559D4">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现代西方哲学研究</w:t>
            </w:r>
          </w:p>
        </w:tc>
      </w:tr>
      <w:tr w14:paraId="094A1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center"/>
          </w:tcPr>
          <w:p w14:paraId="114011F4">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选修课</w:t>
            </w:r>
          </w:p>
        </w:tc>
        <w:tc>
          <w:tcPr>
            <w:tcW w:w="3660" w:type="dxa"/>
            <w:noWrap w:val="0"/>
            <w:vAlign w:val="top"/>
          </w:tcPr>
          <w:p w14:paraId="073D174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Calibri" w:hAnsi="Calibri" w:eastAsia="宋体" w:cs="Times New Roman"/>
                <w:b w:val="0"/>
                <w:bCs/>
                <w:kern w:val="2"/>
                <w:sz w:val="21"/>
                <w:szCs w:val="21"/>
                <w:lang w:val="en-US" w:eastAsia="zh-CN" w:bidi="ar-SA"/>
              </w:rPr>
            </w:pPr>
            <w:r>
              <w:rPr>
                <w:rFonts w:hint="eastAsia"/>
                <w:sz w:val="21"/>
                <w:szCs w:val="21"/>
              </w:rPr>
              <w:t>《理想国》导读</w:t>
            </w:r>
          </w:p>
        </w:tc>
        <w:tc>
          <w:tcPr>
            <w:tcW w:w="3472" w:type="dxa"/>
            <w:noWrap w:val="0"/>
            <w:vAlign w:val="top"/>
          </w:tcPr>
          <w:p w14:paraId="468928C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Calibri" w:hAnsi="Calibri" w:eastAsia="宋体" w:cs="Times New Roman"/>
                <w:b w:val="0"/>
                <w:bCs/>
                <w:kern w:val="2"/>
                <w:sz w:val="21"/>
                <w:szCs w:val="21"/>
                <w:lang w:val="en-US" w:eastAsia="zh-CN" w:bidi="ar-SA"/>
              </w:rPr>
            </w:pPr>
            <w:r>
              <w:rPr>
                <w:rFonts w:hint="eastAsia"/>
                <w:sz w:val="21"/>
                <w:szCs w:val="21"/>
              </w:rPr>
              <w:t>《救赎之星》导读</w:t>
            </w:r>
          </w:p>
        </w:tc>
      </w:tr>
      <w:tr w14:paraId="71FE4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02E08D67">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3F66E03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eastAsia"/>
                <w:sz w:val="21"/>
                <w:szCs w:val="21"/>
              </w:rPr>
              <w:t>《纯粹理性批判》导读</w:t>
            </w:r>
          </w:p>
        </w:tc>
        <w:tc>
          <w:tcPr>
            <w:tcW w:w="3472" w:type="dxa"/>
            <w:noWrap w:val="0"/>
            <w:vAlign w:val="top"/>
          </w:tcPr>
          <w:p w14:paraId="0438046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eastAsia"/>
                <w:sz w:val="21"/>
                <w:szCs w:val="21"/>
              </w:rPr>
              <w:t>《存在与时间》导读</w:t>
            </w:r>
          </w:p>
        </w:tc>
      </w:tr>
    </w:tbl>
    <w:p w14:paraId="3DED35A7">
      <w:pPr>
        <w:widowControl w:val="0"/>
        <w:numPr>
          <w:ilvl w:val="0"/>
          <w:numId w:val="0"/>
        </w:numPr>
        <w:spacing w:line="360" w:lineRule="auto"/>
        <w:contextualSpacing/>
        <w:jc w:val="center"/>
        <w:rPr>
          <w:rFonts w:hint="eastAsia"/>
          <w:sz w:val="21"/>
          <w:szCs w:val="21"/>
        </w:rPr>
      </w:pPr>
      <w:r>
        <w:rPr>
          <w:rFonts w:hint="eastAsia"/>
          <w:sz w:val="21"/>
          <w:szCs w:val="21"/>
        </w:rPr>
        <w:t>注：</w:t>
      </w:r>
      <w:r>
        <w:rPr>
          <w:rFonts w:hint="eastAsia"/>
          <w:sz w:val="21"/>
          <w:szCs w:val="21"/>
          <w:lang w:val="en-US" w:eastAsia="zh-CN"/>
        </w:rPr>
        <w:t>具体课程</w:t>
      </w:r>
      <w:r>
        <w:rPr>
          <w:rFonts w:hint="eastAsia"/>
          <w:sz w:val="21"/>
          <w:szCs w:val="21"/>
        </w:rPr>
        <w:t>参照实际教学</w:t>
      </w:r>
    </w:p>
    <w:p w14:paraId="7BD16861">
      <w:pPr>
        <w:widowControl w:val="0"/>
        <w:numPr>
          <w:ilvl w:val="0"/>
          <w:numId w:val="0"/>
        </w:numPr>
        <w:spacing w:line="360" w:lineRule="auto"/>
        <w:contextualSpacing/>
        <w:jc w:val="center"/>
        <w:rPr>
          <w:rFonts w:hint="eastAsia"/>
          <w:sz w:val="21"/>
          <w:szCs w:val="21"/>
        </w:rPr>
      </w:pPr>
    </w:p>
    <w:p w14:paraId="3B908998">
      <w:pPr>
        <w:widowControl w:val="0"/>
        <w:numPr>
          <w:ilvl w:val="0"/>
          <w:numId w:val="0"/>
        </w:numPr>
        <w:spacing w:line="360" w:lineRule="auto"/>
        <w:contextualSpacing/>
        <w:jc w:val="both"/>
        <w:rPr>
          <w:rFonts w:hint="eastAsia"/>
          <w:sz w:val="21"/>
          <w:szCs w:val="21"/>
          <w:lang w:eastAsia="zh-CN"/>
        </w:rPr>
      </w:pPr>
    </w:p>
    <w:p w14:paraId="1A5C9541">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报名条件：</w:t>
      </w:r>
    </w:p>
    <w:p w14:paraId="74CBD1B8">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1、已获得学士学位，并在获得学士学位后工作3年以上者；</w:t>
      </w:r>
    </w:p>
    <w:p w14:paraId="28D328B4">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2、虽无学士学位但已获得硕士或博士学位者；或通过教育部留学服务中心认证的国（境）外学士(获得学士学位后工作3年以上)、硕士或博士学位获得者。</w:t>
      </w:r>
    </w:p>
    <w:p w14:paraId="4ED9FACC">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3、在申请学位的专业或相近专业做出成绩，学术水平或专业技术水平已达到所申请学位专业的毕业研究生同等水平。</w:t>
      </w:r>
    </w:p>
    <w:p w14:paraId="654E8005">
      <w:pPr>
        <w:spacing w:line="360" w:lineRule="auto"/>
        <w:contextualSpacing/>
        <w:jc w:val="left"/>
        <w:rPr>
          <w:rFonts w:cs="宋体" w:asciiTheme="minorEastAsia" w:hAnsiTheme="minorEastAsia"/>
          <w:sz w:val="24"/>
        </w:rPr>
      </w:pPr>
    </w:p>
    <w:p w14:paraId="5B5C1468">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六、</w:t>
      </w:r>
      <w:r>
        <w:rPr>
          <w:rFonts w:hint="eastAsia" w:cs="宋体" w:asciiTheme="minorEastAsia" w:hAnsiTheme="minorEastAsia"/>
          <w:b/>
          <w:bCs/>
          <w:color w:val="000000" w:themeColor="text1"/>
          <w:sz w:val="24"/>
          <w14:textFill>
            <w14:solidFill>
              <w14:schemeClr w14:val="tx1"/>
            </w14:solidFill>
          </w14:textFill>
        </w:rPr>
        <w:t>收费标准</w:t>
      </w:r>
      <w:r>
        <w:rPr>
          <w:rFonts w:hint="eastAsia" w:cs="宋体" w:asciiTheme="minorEastAsia" w:hAnsiTheme="minorEastAsia"/>
          <w:b/>
          <w:bCs/>
          <w:color w:val="000000" w:themeColor="text1"/>
          <w:sz w:val="24"/>
          <w:lang w:eastAsia="zh-CN"/>
          <w14:textFill>
            <w14:solidFill>
              <w14:schemeClr w14:val="tx1"/>
            </w14:solidFill>
          </w14:textFill>
        </w:rPr>
        <w:t>：</w:t>
      </w:r>
    </w:p>
    <w:p w14:paraId="1F139D2A">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1、</w:t>
      </w:r>
      <w:r>
        <w:rPr>
          <w:rFonts w:hint="eastAsia" w:cs="仿宋_GB2312" w:asciiTheme="minorEastAsia" w:hAnsiTheme="minorEastAsia"/>
          <w:color w:val="000000"/>
        </w:rPr>
        <w:t>课程学习培养费1</w:t>
      </w:r>
      <w:r>
        <w:rPr>
          <w:rFonts w:hint="eastAsia" w:cs="仿宋_GB2312" w:asciiTheme="minorEastAsia" w:hAnsiTheme="minorEastAsia"/>
          <w:color w:val="000000"/>
          <w:lang w:val="en-US" w:eastAsia="zh-CN"/>
        </w:rPr>
        <w:t>61</w:t>
      </w:r>
      <w:r>
        <w:rPr>
          <w:rFonts w:hint="eastAsia" w:cs="仿宋_GB2312" w:asciiTheme="minorEastAsia" w:hAnsiTheme="minorEastAsia"/>
          <w:color w:val="000000"/>
        </w:rPr>
        <w:t>00元</w:t>
      </w:r>
    </w:p>
    <w:p w14:paraId="28E2522A">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2、</w:t>
      </w:r>
      <w:r>
        <w:rPr>
          <w:rFonts w:hint="eastAsia" w:cs="仿宋_GB2312" w:asciiTheme="minorEastAsia" w:hAnsiTheme="minorEastAsia"/>
          <w:color w:val="000000"/>
        </w:rPr>
        <w:t>学位论文答辩费1</w:t>
      </w:r>
      <w:r>
        <w:rPr>
          <w:rFonts w:hint="eastAsia" w:cs="仿宋_GB2312" w:asciiTheme="minorEastAsia" w:hAnsiTheme="minorEastAsia"/>
          <w:color w:val="000000"/>
          <w:lang w:val="en-US" w:eastAsia="zh-CN"/>
        </w:rPr>
        <w:t>6</w:t>
      </w:r>
      <w:r>
        <w:rPr>
          <w:rFonts w:hint="eastAsia" w:cs="仿宋_GB2312" w:asciiTheme="minorEastAsia" w:hAnsiTheme="minorEastAsia"/>
          <w:color w:val="000000"/>
        </w:rPr>
        <w:t>000元</w:t>
      </w:r>
    </w:p>
    <w:p w14:paraId="70354C4B">
      <w:pPr>
        <w:spacing w:line="360" w:lineRule="auto"/>
        <w:contextualSpacing/>
        <w:jc w:val="left"/>
        <w:rPr>
          <w:rFonts w:cs="宋体" w:asciiTheme="minorEastAsia" w:hAnsiTheme="minorEastAsia"/>
          <w:color w:val="000000" w:themeColor="text1"/>
          <w:sz w:val="24"/>
          <w14:textFill>
            <w14:solidFill>
              <w14:schemeClr w14:val="tx1"/>
            </w14:solidFill>
          </w14:textFill>
        </w:rPr>
      </w:pPr>
    </w:p>
    <w:p w14:paraId="760BAF95">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七</w:t>
      </w:r>
      <w:r>
        <w:rPr>
          <w:rFonts w:hint="eastAsia" w:cs="宋体" w:asciiTheme="minorEastAsia" w:hAnsiTheme="minorEastAsia"/>
          <w:b/>
          <w:bCs/>
          <w:color w:val="000000" w:themeColor="text1"/>
          <w:sz w:val="24"/>
          <w14:textFill>
            <w14:solidFill>
              <w14:schemeClr w14:val="tx1"/>
            </w14:solidFill>
          </w14:textFill>
        </w:rPr>
        <w:t>、培养方式</w:t>
      </w:r>
      <w:r>
        <w:rPr>
          <w:rFonts w:hint="eastAsia" w:cs="宋体" w:asciiTheme="minorEastAsia" w:hAnsiTheme="minorEastAsia"/>
          <w:b/>
          <w:bCs/>
          <w:color w:val="000000" w:themeColor="text1"/>
          <w:sz w:val="24"/>
          <w:lang w:eastAsia="zh-CN"/>
          <w14:textFill>
            <w14:solidFill>
              <w14:schemeClr w14:val="tx1"/>
            </w14:solidFill>
          </w14:textFill>
        </w:rPr>
        <w:t>：</w:t>
      </w:r>
    </w:p>
    <w:p w14:paraId="064BDB58">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1、学习时间：学制两年；</w:t>
      </w:r>
    </w:p>
    <w:p w14:paraId="3321ADC0">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2、授课方式：校本部面授学习、异地教学中心网络学习相结合的授课方式；面授时间利用周末及公众节假日集中授课，学习期间采取理论与实践相结合、课堂讲授与自学相结合的方式。</w:t>
      </w:r>
    </w:p>
    <w:p w14:paraId="1B8B7BA9">
      <w:pPr>
        <w:spacing w:line="360" w:lineRule="auto"/>
        <w:contextualSpacing/>
        <w:jc w:val="left"/>
        <w:rPr>
          <w:rFonts w:cs="宋体" w:asciiTheme="minorEastAsia" w:hAnsiTheme="minorEastAsia"/>
          <w:sz w:val="24"/>
        </w:rPr>
      </w:pPr>
    </w:p>
    <w:p w14:paraId="3C2279C2">
      <w:pPr>
        <w:spacing w:line="360" w:lineRule="auto"/>
        <w:contextualSpacing/>
        <w:jc w:val="left"/>
        <w:rPr>
          <w:rFonts w:hint="eastAsia" w:cs="宋体" w:asciiTheme="minorEastAsia" w:hAnsiTheme="minorEastAsia"/>
          <w:sz w:val="24"/>
        </w:rPr>
      </w:pPr>
      <w:r>
        <w:rPr>
          <w:rFonts w:hint="eastAsia" w:cs="宋体" w:asciiTheme="minorEastAsia" w:hAnsiTheme="minorEastAsia"/>
          <w:b/>
          <w:bCs/>
          <w:color w:val="000000" w:themeColor="text1"/>
          <w:sz w:val="24"/>
          <w:lang w:val="en-US" w:eastAsia="zh-CN"/>
          <w14:textFill>
            <w14:solidFill>
              <w14:schemeClr w14:val="tx1"/>
            </w14:solidFill>
          </w14:textFill>
        </w:rPr>
        <w:t>八</w:t>
      </w:r>
      <w:r>
        <w:rPr>
          <w:rFonts w:hint="eastAsia" w:cs="宋体" w:asciiTheme="minorEastAsia" w:hAnsiTheme="minorEastAsia"/>
          <w:b/>
          <w:bCs/>
          <w:color w:val="000000" w:themeColor="text1"/>
          <w:sz w:val="24"/>
          <w14:textFill>
            <w14:solidFill>
              <w14:schemeClr w14:val="tx1"/>
            </w14:solidFill>
          </w14:textFill>
        </w:rPr>
        <w:t>、报名手续</w:t>
      </w:r>
      <w:r>
        <w:rPr>
          <w:rFonts w:hint="eastAsia" w:cs="宋体" w:asciiTheme="minorEastAsia" w:hAnsiTheme="minorEastAsia"/>
          <w:b/>
          <w:bCs/>
          <w:color w:val="000000" w:themeColor="text1"/>
          <w:sz w:val="24"/>
          <w:lang w:eastAsia="zh-CN"/>
          <w14:textFill>
            <w14:solidFill>
              <w14:schemeClr w14:val="tx1"/>
            </w14:solidFill>
          </w14:textFill>
        </w:rPr>
        <w:t>：</w:t>
      </w:r>
    </w:p>
    <w:p w14:paraId="46AE3CE0">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1、同等学力人员申硕申请硕士学位情况表；</w:t>
      </w:r>
    </w:p>
    <w:p w14:paraId="50D3DBA2">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2、二代居民身份证原件及复印件；</w:t>
      </w:r>
    </w:p>
    <w:p w14:paraId="32D1DB40">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3、学历证书、学位证书原件及复印件；</w:t>
      </w:r>
    </w:p>
    <w:p w14:paraId="41600FF3">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4、中国高等教育学位在线验证报告或学位认证报告；</w:t>
      </w:r>
    </w:p>
    <w:p w14:paraId="6F49A2F8">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5、蓝底电子证件照。</w:t>
      </w:r>
    </w:p>
    <w:p w14:paraId="6E343379">
      <w:pPr>
        <w:spacing w:line="360" w:lineRule="auto"/>
        <w:contextualSpacing/>
        <w:jc w:val="left"/>
        <w:rPr>
          <w:rFonts w:cs="宋体" w:asciiTheme="minorEastAsia" w:hAnsiTheme="minorEastAsia"/>
          <w:sz w:val="24"/>
        </w:rPr>
      </w:pPr>
    </w:p>
    <w:p w14:paraId="7AFC31BA">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九</w:t>
      </w:r>
      <w:r>
        <w:rPr>
          <w:rFonts w:hint="eastAsia" w:cs="宋体" w:asciiTheme="minorEastAsia" w:hAnsiTheme="minorEastAsia"/>
          <w:b/>
          <w:bCs/>
          <w:color w:val="000000" w:themeColor="text1"/>
          <w:sz w:val="24"/>
          <w14:textFill>
            <w14:solidFill>
              <w14:schemeClr w14:val="tx1"/>
            </w14:solidFill>
          </w14:textFill>
        </w:rPr>
        <w:t>、获取证书</w:t>
      </w:r>
      <w:r>
        <w:rPr>
          <w:rFonts w:hint="eastAsia" w:cs="宋体" w:asciiTheme="minorEastAsia" w:hAnsiTheme="minorEastAsia"/>
          <w:b/>
          <w:bCs/>
          <w:color w:val="000000" w:themeColor="text1"/>
          <w:sz w:val="24"/>
          <w:lang w:eastAsia="zh-CN"/>
          <w14:textFill>
            <w14:solidFill>
              <w14:schemeClr w14:val="tx1"/>
            </w14:solidFill>
          </w14:textFill>
        </w:rPr>
        <w:t>：</w:t>
      </w:r>
    </w:p>
    <w:p w14:paraId="7BCCDDFA">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申请人资格审查之日起，必须在4年内修完所申请专业硕士研究生培养方案规定的课程，按要求参加考试，取得合格成绩，修满规定的学分，并且通过同等学力人员申请硕士学位外国语水平全国统一考试和学科综合水平全国统一考试；在省级及以上学术期刊发表一篇与专业相关的论文（本人独著或第一作者）；在6年内进行硕士学位论文答辩。通过同等学力水平认定，经我校学位委员会批准，授予硕士学位并颁发学位证书。</w:t>
      </w:r>
    </w:p>
    <w:p w14:paraId="3E7A9AA4">
      <w:pPr>
        <w:spacing w:line="360" w:lineRule="auto"/>
        <w:ind w:firstLine="480" w:firstLineChars="200"/>
        <w:contextualSpacing/>
        <w:jc w:val="left"/>
        <w:rPr>
          <w:rFonts w:hint="eastAsia" w:cs="宋体" w:asciiTheme="minorEastAsia" w:hAnsiTheme="minorEastAsia"/>
          <w:sz w:val="24"/>
        </w:rPr>
      </w:pPr>
    </w:p>
    <w:p w14:paraId="7F2320DF">
      <w:pPr>
        <w:jc w:val="both"/>
        <w:rPr>
          <w:rFonts w:hint="eastAsia" w:cs="宋体" w:asciiTheme="majorEastAsia" w:hAnsiTheme="majorEastAsia" w:eastAsiaTheme="majorEastAsia"/>
          <w:b/>
          <w:bCs/>
          <w:sz w:val="36"/>
          <w:szCs w:val="36"/>
        </w:rPr>
      </w:pP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F84B6">
    <w:pPr>
      <w:pStyle w:val="4"/>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33035"/>
          <wp:effectExtent l="0" t="0" r="2540" b="5715"/>
          <wp:wrapNone/>
          <wp:docPr id="2" name="WordPictureWatermark11602" descr="南昌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1602" descr="南昌大学LOGO"/>
                  <pic:cNvPicPr>
                    <a:picLocks noChangeAspect="1"/>
                  </pic:cNvPicPr>
                </pic:nvPicPr>
                <pic:blipFill>
                  <a:blip r:embed="rId1">
                    <a:lum bright="70000" contrast="-70000"/>
                  </a:blip>
                  <a:stretch>
                    <a:fillRect/>
                  </a:stretch>
                </pic:blipFill>
                <pic:spPr>
                  <a:xfrm>
                    <a:off x="0" y="0"/>
                    <a:ext cx="5274310" cy="523303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4B580"/>
    <w:multiLevelType w:val="singleLevel"/>
    <w:tmpl w:val="9054B58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ODQ5N2Q1NmI0ZDAwYTJiMTcyMmU3ZjhhMWE4NmEifQ=="/>
  </w:docVars>
  <w:rsids>
    <w:rsidRoot w:val="4EA60DAF"/>
    <w:rsid w:val="012A0152"/>
    <w:rsid w:val="09903C9B"/>
    <w:rsid w:val="142D2B74"/>
    <w:rsid w:val="162A63E6"/>
    <w:rsid w:val="28107987"/>
    <w:rsid w:val="3BE155F6"/>
    <w:rsid w:val="3FB105A7"/>
    <w:rsid w:val="3FCA7AC6"/>
    <w:rsid w:val="43F565F9"/>
    <w:rsid w:val="446B64B3"/>
    <w:rsid w:val="4B980244"/>
    <w:rsid w:val="4EA60DAF"/>
    <w:rsid w:val="508605D9"/>
    <w:rsid w:val="56D96AA1"/>
    <w:rsid w:val="57DE2C1F"/>
    <w:rsid w:val="644353E5"/>
    <w:rsid w:val="66B166EB"/>
    <w:rsid w:val="7E6247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0"/>
    <w:pPr>
      <w:spacing w:before="100" w:beforeAutospacing="1" w:after="100" w:afterAutospacing="1"/>
      <w:jc w:val="left"/>
      <w:outlineLvl w:val="5"/>
    </w:pPr>
    <w:rPr>
      <w:rFonts w:ascii="宋体" w:hAnsi="宋体"/>
      <w:b/>
      <w:kern w:val="0"/>
      <w:sz w:val="15"/>
      <w:szCs w:val="15"/>
    </w:rPr>
  </w:style>
  <w:style w:type="character" w:default="1" w:styleId="8">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99"/>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1696</Words>
  <Characters>1727</Characters>
  <Lines>0</Lines>
  <Paragraphs>0</Paragraphs>
  <TotalTime>0</TotalTime>
  <ScaleCrop>false</ScaleCrop>
  <LinksUpToDate>false</LinksUpToDate>
  <CharactersWithSpaces>1732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2023-11-17T03:26:00Z</dcterms:created>
  <dc:creator>Administrator</dc:creator>
  <cp:lastModifiedBy>Administrator</cp:lastModifiedBy>
  <dcterms:modified xsi:type="dcterms:W3CDTF">2026-02-12T05:30:29Z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385803AD8A9A437AA6DF2C3500095B98_13</vt:lpwstr>
  </property>
  <property fmtid="{D5CDD505-2E9C-101B-9397-08002B2CF9AE}" pid="4" name="KSOTemplateDocerSaveRecord">
    <vt:lpwstr>eyJoZGlkIjoiNGQ5ODQ5N2Q1NmI0ZDAwYTJiMTcyMmU3ZjhhMWE4NmEifQ==</vt:lpwstr>
  </property>
</Properties>
</file>