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716D5C">
      <w:pPr>
        <w:spacing w:line="360" w:lineRule="auto"/>
        <w:contextualSpacing/>
        <w:jc w:val="center"/>
        <w:rPr>
          <w:rFonts w:hint="eastAsia" w:cs="宋体" w:asciiTheme="majorEastAsia" w:hAnsiTheme="majorEastAsia" w:eastAsiaTheme="majorEastAsia"/>
          <w:b/>
          <w:bCs/>
          <w:sz w:val="36"/>
          <w:szCs w:val="36"/>
        </w:rPr>
      </w:pPr>
      <w:r>
        <w:drawing>
          <wp:inline distT="0" distB="0" distL="114300" distR="114300">
            <wp:extent cx="4281170" cy="1411605"/>
            <wp:effectExtent l="0" t="0" r="5080" b="1714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5"/>
                    <a:stretch>
                      <a:fillRect/>
                    </a:stretch>
                  </pic:blipFill>
                  <pic:spPr>
                    <a:xfrm>
                      <a:off x="0" y="0"/>
                      <a:ext cx="4281170" cy="1411605"/>
                    </a:xfrm>
                    <a:prstGeom prst="rect">
                      <a:avLst/>
                    </a:prstGeom>
                    <a:noFill/>
                    <a:ln>
                      <a:noFill/>
                    </a:ln>
                  </pic:spPr>
                </pic:pic>
              </a:graphicData>
            </a:graphic>
          </wp:inline>
        </w:drawing>
      </w:r>
    </w:p>
    <w:p w14:paraId="2BB5EBB4">
      <w:pPr>
        <w:spacing w:line="360" w:lineRule="auto"/>
        <w:contextualSpacing/>
        <w:jc w:val="center"/>
        <w:rPr>
          <w:rFonts w:hint="default" w:cs="宋体" w:asciiTheme="majorEastAsia" w:hAnsiTheme="majorEastAsia" w:eastAsiaTheme="majorEastAsia"/>
          <w:b/>
          <w:bCs/>
          <w:sz w:val="36"/>
          <w:szCs w:val="36"/>
          <w:lang w:val="en-US" w:eastAsia="zh-CN"/>
        </w:rPr>
      </w:pPr>
      <w:r>
        <w:rPr>
          <w:rFonts w:hint="eastAsia" w:cs="宋体" w:asciiTheme="majorEastAsia" w:hAnsiTheme="majorEastAsia" w:eastAsiaTheme="majorEastAsia"/>
          <w:b/>
          <w:bCs/>
          <w:sz w:val="36"/>
          <w:szCs w:val="36"/>
        </w:rPr>
        <w:t>南昌大学建筑与设计学院</w:t>
      </w:r>
      <w:r>
        <w:rPr>
          <w:rFonts w:hint="eastAsia" w:cs="宋体" w:asciiTheme="majorEastAsia" w:hAnsiTheme="majorEastAsia" w:eastAsiaTheme="majorEastAsia"/>
          <w:b/>
          <w:bCs/>
          <w:sz w:val="36"/>
          <w:szCs w:val="36"/>
          <w:lang w:val="en-US" w:eastAsia="zh-CN"/>
        </w:rPr>
        <w:t>设计学专业</w:t>
      </w:r>
    </w:p>
    <w:p w14:paraId="5DBCA787">
      <w:pPr>
        <w:spacing w:line="360" w:lineRule="auto"/>
        <w:contextualSpacing/>
        <w:jc w:val="center"/>
        <w:rPr>
          <w:rFonts w:hint="eastAsia" w:cs="宋体" w:asciiTheme="majorEastAsia" w:hAnsiTheme="majorEastAsia" w:eastAsiaTheme="majorEastAsia"/>
          <w:b/>
          <w:bCs/>
          <w:sz w:val="36"/>
          <w:szCs w:val="36"/>
        </w:rPr>
      </w:pPr>
      <w:r>
        <w:rPr>
          <w:rFonts w:hint="eastAsia" w:cs="宋体" w:asciiTheme="majorEastAsia" w:hAnsiTheme="majorEastAsia" w:eastAsiaTheme="majorEastAsia"/>
          <w:b/>
          <w:bCs/>
          <w:sz w:val="36"/>
          <w:szCs w:val="36"/>
        </w:rPr>
        <w:t>同等学力申请硕士学位招生简章</w:t>
      </w:r>
    </w:p>
    <w:p w14:paraId="5670346D">
      <w:pPr>
        <w:tabs>
          <w:tab w:val="left" w:pos="2820"/>
        </w:tabs>
        <w:spacing w:line="360" w:lineRule="auto"/>
        <w:contextualSpacing/>
        <w:jc w:val="left"/>
        <w:rPr>
          <w:rFonts w:cs="宋体" w:asciiTheme="minorEastAsia" w:hAnsiTheme="minorEastAsia"/>
          <w:sz w:val="24"/>
        </w:rPr>
      </w:pPr>
    </w:p>
    <w:p w14:paraId="76E7FE1A">
      <w:pPr>
        <w:spacing w:line="360" w:lineRule="auto"/>
        <w:contextualSpacing/>
        <w:jc w:val="left"/>
        <w:rPr>
          <w:rFonts w:hint="default" w:cs="宋体" w:asciiTheme="minorEastAsia" w:hAnsiTheme="minorEastAsia" w:eastAsiaTheme="minorEastAsia"/>
          <w:b/>
          <w:bCs/>
          <w:color w:val="000000" w:themeColor="text1"/>
          <w:sz w:val="24"/>
          <w:lang w:val="en-US" w:eastAsia="zh-CN"/>
          <w14:textFill>
            <w14:solidFill>
              <w14:schemeClr w14:val="tx1"/>
            </w14:solidFill>
          </w14:textFill>
        </w:rPr>
      </w:pPr>
      <w:r>
        <w:rPr>
          <w:rFonts w:hint="eastAsia" w:cs="宋体" w:asciiTheme="minorEastAsia" w:hAnsiTheme="minorEastAsia"/>
          <w:b/>
          <w:bCs/>
          <w:color w:val="000000" w:themeColor="text1"/>
          <w:sz w:val="24"/>
          <w14:textFill>
            <w14:solidFill>
              <w14:schemeClr w14:val="tx1"/>
            </w14:solidFill>
          </w14:textFill>
        </w:rPr>
        <w:t>一、</w:t>
      </w:r>
      <w:r>
        <w:rPr>
          <w:rFonts w:hint="eastAsia" w:cs="宋体" w:asciiTheme="minorEastAsia" w:hAnsiTheme="minorEastAsia"/>
          <w:b/>
          <w:bCs/>
          <w:color w:val="000000" w:themeColor="text1"/>
          <w:sz w:val="24"/>
          <w:lang w:val="en-US" w:eastAsia="zh-CN"/>
          <w14:textFill>
            <w14:solidFill>
              <w14:schemeClr w14:val="tx1"/>
            </w14:solidFill>
          </w14:textFill>
        </w:rPr>
        <w:t>院校简介：</w:t>
      </w:r>
    </w:p>
    <w:p w14:paraId="5CA29D43">
      <w:pPr>
        <w:spacing w:line="360" w:lineRule="auto"/>
        <w:ind w:firstLine="480" w:firstLineChars="200"/>
        <w:contextualSpacing/>
        <w:jc w:val="left"/>
        <w:rPr>
          <w:rFonts w:hint="eastAsia" w:cs="宋体" w:asciiTheme="minorEastAsia" w:hAnsiTheme="minorEastAsia"/>
          <w:sz w:val="24"/>
        </w:rPr>
      </w:pPr>
      <w:r>
        <w:rPr>
          <w:rFonts w:hint="eastAsia" w:cs="宋体" w:asciiTheme="minorEastAsia" w:hAnsiTheme="minorEastAsia"/>
          <w:sz w:val="24"/>
        </w:rPr>
        <w:t>南昌大学是一所“文理工医渗透、学研产用结合”的综合性大学，是江西省人民政府和教育部共建的国家“211工程”重点建设大学。学校现有8个学术类博士学位授权一级学科，45个学术类硕士学位授权一级学科，1种博士专业学位授权和20种硕士专业学位授权以及在职人员以同等学力申请硕士学位授予权。</w:t>
      </w:r>
    </w:p>
    <w:p w14:paraId="157021AA">
      <w:pPr>
        <w:spacing w:line="360" w:lineRule="auto"/>
        <w:ind w:firstLine="480" w:firstLineChars="200"/>
        <w:contextualSpacing/>
        <w:jc w:val="left"/>
        <w:rPr>
          <w:rFonts w:hint="eastAsia" w:ascii="宋体" w:hAnsi="宋体" w:eastAsia="宋体" w:cs="宋体"/>
          <w:i w:val="0"/>
          <w:iCs w:val="0"/>
          <w:caps w:val="0"/>
          <w:color w:val="000000"/>
          <w:spacing w:val="0"/>
          <w:sz w:val="24"/>
          <w:szCs w:val="24"/>
          <w:shd w:val="clear" w:fill="FFFFFF"/>
          <w:lang w:val="en-US" w:eastAsia="zh-CN"/>
        </w:rPr>
      </w:pPr>
      <w:r>
        <w:rPr>
          <w:rFonts w:hint="eastAsia" w:ascii="宋体" w:hAnsi="宋体" w:eastAsia="宋体" w:cs="宋体"/>
          <w:i w:val="0"/>
          <w:iCs w:val="0"/>
          <w:caps w:val="0"/>
          <w:color w:val="000000"/>
          <w:spacing w:val="0"/>
          <w:sz w:val="24"/>
          <w:szCs w:val="24"/>
          <w:shd w:val="clear" w:fill="FFFFFF"/>
          <w:lang w:val="en-US" w:eastAsia="zh-CN"/>
        </w:rPr>
        <w:t>南昌大学建筑与设计学院,2022年1月由原建筑工程学院建筑学专业、城乡规划专业与原艺术与设计学院设计类专业整合而成。学院下设4系1部，即建筑系、工业设计系、艺术设计系、城乡规划系、基础部。现有建筑学、城乡规划、环境设计、工业设计4个本科专业。其中建筑学、环境设计专业为国家一流本科专业建设点。建筑学专业和工业设计专业为江西省品牌专业及五星专业。城乡规划、工业设计专业为省级一流本科专业建设点。学院拥有建筑学和设计学两个一级学科硕士点、设计硕士、工业设计工程两个专业硕士授权点。</w:t>
      </w:r>
    </w:p>
    <w:p w14:paraId="411D66A2">
      <w:pPr>
        <w:spacing w:line="360" w:lineRule="auto"/>
        <w:ind w:firstLine="480" w:firstLineChars="200"/>
        <w:contextualSpacing/>
        <w:jc w:val="left"/>
        <w:rPr>
          <w:rFonts w:hint="eastAsia" w:ascii="宋体" w:hAnsi="宋体" w:eastAsia="宋体" w:cs="宋体"/>
          <w:i w:val="0"/>
          <w:iCs w:val="0"/>
          <w:caps w:val="0"/>
          <w:color w:val="000000"/>
          <w:spacing w:val="0"/>
          <w:sz w:val="24"/>
          <w:szCs w:val="24"/>
          <w:shd w:val="clear" w:fill="FFFFFF"/>
          <w:lang w:val="en-US" w:eastAsia="zh-CN"/>
        </w:rPr>
      </w:pPr>
      <w:r>
        <w:rPr>
          <w:rFonts w:hint="eastAsia" w:ascii="宋体" w:hAnsi="宋体" w:eastAsia="宋体" w:cs="宋体"/>
          <w:i w:val="0"/>
          <w:iCs w:val="0"/>
          <w:caps w:val="0"/>
          <w:color w:val="000000"/>
          <w:spacing w:val="0"/>
          <w:sz w:val="24"/>
          <w:szCs w:val="24"/>
          <w:shd w:val="clear" w:fill="FFFFFF"/>
          <w:lang w:val="en-US" w:eastAsia="zh-CN"/>
        </w:rPr>
        <w:t>学院师资队伍结构合理、梯队完整，形成了以中青年学者和博士为主体的教师队伍。学院现有教职工136位，其中专任教师114人。专任教师中教授19人，副教授51人；博士生导师 3名，硕士生导师50余名。与多个政府和企事业单位签署合作协议，举办专题讲座、研讨、竞赛，建立了本科生、研究生实习实践教学基地40余个。</w:t>
      </w:r>
    </w:p>
    <w:p w14:paraId="36F3C6D9">
      <w:pPr>
        <w:spacing w:line="360" w:lineRule="auto"/>
        <w:ind w:firstLine="480" w:firstLineChars="200"/>
        <w:contextualSpacing/>
        <w:jc w:val="left"/>
        <w:rPr>
          <w:rFonts w:hint="eastAsia" w:cs="宋体" w:asciiTheme="minorEastAsia" w:hAnsiTheme="minorEastAsia"/>
          <w:sz w:val="24"/>
        </w:rPr>
      </w:pPr>
      <w:r>
        <w:rPr>
          <w:rFonts w:hint="eastAsia" w:ascii="宋体" w:hAnsi="宋体" w:eastAsia="宋体" w:cs="宋体"/>
          <w:i w:val="0"/>
          <w:iCs w:val="0"/>
          <w:caps w:val="0"/>
          <w:color w:val="000000"/>
          <w:spacing w:val="0"/>
          <w:sz w:val="24"/>
          <w:szCs w:val="24"/>
          <w:shd w:val="clear" w:fill="FFFFFF"/>
          <w:lang w:val="en-US" w:eastAsia="zh-CN"/>
        </w:rPr>
        <w:t>为适应全国社会经济发展需求，培养更多建筑与设计领域高层次人才。</w:t>
      </w:r>
      <w:r>
        <w:rPr>
          <w:rFonts w:hint="eastAsia" w:ascii="宋体" w:hAnsi="宋体" w:eastAsia="宋体" w:cs="宋体"/>
          <w:i w:val="0"/>
          <w:iCs w:val="0"/>
          <w:caps w:val="0"/>
          <w:color w:val="000000"/>
          <w:spacing w:val="0"/>
          <w:sz w:val="24"/>
          <w:szCs w:val="24"/>
          <w:shd w:val="clear" w:fill="FFFFFF"/>
        </w:rPr>
        <w:t>南昌大学</w:t>
      </w:r>
      <w:r>
        <w:rPr>
          <w:rFonts w:hint="eastAsia" w:ascii="宋体" w:hAnsi="宋体" w:eastAsia="宋体" w:cs="宋体"/>
          <w:i w:val="0"/>
          <w:iCs w:val="0"/>
          <w:caps w:val="0"/>
          <w:color w:val="000000"/>
          <w:spacing w:val="0"/>
          <w:sz w:val="24"/>
          <w:szCs w:val="24"/>
          <w:shd w:val="clear" w:fill="FFFFFF"/>
          <w:lang w:val="en-US" w:eastAsia="zh-CN"/>
        </w:rPr>
        <w:t>建筑与设计学院决定面向全国开设设计学</w:t>
      </w:r>
      <w:r>
        <w:rPr>
          <w:rFonts w:hint="eastAsia" w:ascii="宋体" w:hAnsi="宋体" w:eastAsia="宋体" w:cs="宋体"/>
          <w:i w:val="0"/>
          <w:iCs w:val="0"/>
          <w:caps w:val="0"/>
          <w:color w:val="000000"/>
          <w:spacing w:val="0"/>
          <w:sz w:val="24"/>
          <w:szCs w:val="24"/>
          <w:shd w:val="clear" w:fill="FFFFFF"/>
        </w:rPr>
        <w:t>专业同等学力申请硕士学位课程研修班。</w:t>
      </w:r>
    </w:p>
    <w:p w14:paraId="7C918AF3">
      <w:pPr>
        <w:numPr>
          <w:ilvl w:val="0"/>
          <w:numId w:val="1"/>
        </w:numPr>
        <w:spacing w:line="360" w:lineRule="auto"/>
        <w:contextualSpacing/>
        <w:jc w:val="left"/>
        <w:rPr>
          <w:rFonts w:hint="eastAsia" w:cs="宋体" w:asciiTheme="minorEastAsia" w:hAnsiTheme="minorEastAsia"/>
          <w:b/>
          <w:bCs/>
          <w:color w:val="000000" w:themeColor="text1"/>
          <w:sz w:val="24"/>
          <w:lang w:val="en-US" w:eastAsia="zh-CN"/>
          <w14:textFill>
            <w14:solidFill>
              <w14:schemeClr w14:val="tx1"/>
            </w14:solidFill>
          </w14:textFill>
        </w:rPr>
      </w:pPr>
      <w:r>
        <w:rPr>
          <w:rFonts w:hint="eastAsia" w:cs="宋体" w:asciiTheme="minorEastAsia" w:hAnsiTheme="minorEastAsia"/>
          <w:b/>
          <w:bCs/>
          <w:color w:val="000000" w:themeColor="text1"/>
          <w:sz w:val="24"/>
          <w:lang w:val="en-US" w:eastAsia="zh-CN"/>
          <w14:textFill>
            <w14:solidFill>
              <w14:schemeClr w14:val="tx1"/>
            </w14:solidFill>
          </w14:textFill>
        </w:rPr>
        <w:t>培养目标：</w:t>
      </w:r>
    </w:p>
    <w:p w14:paraId="3D507FAF">
      <w:pPr>
        <w:spacing w:line="360" w:lineRule="auto"/>
        <w:ind w:firstLine="480" w:firstLineChars="200"/>
        <w:contextualSpacing/>
        <w:jc w:val="left"/>
        <w:rPr>
          <w:rFonts w:hint="default" w:ascii="宋体" w:hAnsi="宋体" w:eastAsia="宋体" w:cs="宋体"/>
          <w:i w:val="0"/>
          <w:iCs w:val="0"/>
          <w:caps w:val="0"/>
          <w:color w:val="000000"/>
          <w:spacing w:val="0"/>
          <w:sz w:val="24"/>
          <w:szCs w:val="24"/>
          <w:shd w:val="clear" w:fill="FFFFFF"/>
          <w:lang w:val="en-US" w:eastAsia="zh-CN"/>
        </w:rPr>
      </w:pPr>
      <w:r>
        <w:rPr>
          <w:rFonts w:hint="default" w:ascii="宋体" w:hAnsi="宋体" w:eastAsia="宋体" w:cs="宋体"/>
          <w:i w:val="0"/>
          <w:iCs w:val="0"/>
          <w:caps w:val="0"/>
          <w:color w:val="000000"/>
          <w:spacing w:val="0"/>
          <w:sz w:val="24"/>
          <w:szCs w:val="24"/>
          <w:shd w:val="clear" w:fill="FFFFFF"/>
          <w:lang w:val="en-US" w:eastAsia="zh-CN"/>
        </w:rPr>
        <w:t>本专业培养学生掌握设计学与美学方面的基本理论和基本知识，了解中外艺术设计的历史与发展趋势，建立美感训练和创意训练，具有艺术设计的思维方式和创新意识的综合素质学员</w:t>
      </w:r>
      <w:r>
        <w:rPr>
          <w:rFonts w:hint="eastAsia" w:ascii="宋体" w:hAnsi="宋体" w:eastAsia="宋体" w:cs="宋体"/>
          <w:i w:val="0"/>
          <w:iCs w:val="0"/>
          <w:caps w:val="0"/>
          <w:color w:val="000000"/>
          <w:spacing w:val="0"/>
          <w:sz w:val="24"/>
          <w:szCs w:val="24"/>
          <w:shd w:val="clear" w:fill="FFFFFF"/>
          <w:lang w:val="en-US" w:eastAsia="zh-CN"/>
        </w:rPr>
        <w:t>。</w:t>
      </w:r>
      <w:r>
        <w:rPr>
          <w:rFonts w:hint="default" w:ascii="宋体" w:hAnsi="宋体" w:eastAsia="宋体" w:cs="宋体"/>
          <w:i w:val="0"/>
          <w:iCs w:val="0"/>
          <w:caps w:val="0"/>
          <w:color w:val="000000"/>
          <w:spacing w:val="0"/>
          <w:sz w:val="24"/>
          <w:szCs w:val="24"/>
          <w:shd w:val="clear" w:fill="FFFFFF"/>
          <w:lang w:val="en-US" w:eastAsia="zh-CN"/>
        </w:rPr>
        <w:t>能在科研单位、高等院校、城建部门、设计公司及工程单位等从事工程监理、艺术设计教学、设计策划、编辑、城市规划、设计创意和研究等工作的高等技术型专业人才。</w:t>
      </w:r>
    </w:p>
    <w:p w14:paraId="4FE4DA10">
      <w:pPr>
        <w:widowControl w:val="0"/>
        <w:numPr>
          <w:ilvl w:val="0"/>
          <w:numId w:val="0"/>
        </w:numPr>
        <w:spacing w:line="360" w:lineRule="auto"/>
        <w:contextualSpacing/>
        <w:jc w:val="left"/>
        <w:rPr>
          <w:rFonts w:hint="default" w:cs="宋体" w:asciiTheme="minorEastAsia" w:hAnsiTheme="minorEastAsia"/>
          <w:b w:val="0"/>
          <w:bCs w:val="0"/>
          <w:color w:val="000000" w:themeColor="text1"/>
          <w:sz w:val="24"/>
          <w:lang w:val="en-US" w:eastAsia="zh-CN"/>
          <w14:textFill>
            <w14:solidFill>
              <w14:schemeClr w14:val="tx1"/>
            </w14:solidFill>
          </w14:textFill>
        </w:rPr>
      </w:pPr>
    </w:p>
    <w:p w14:paraId="02623F79">
      <w:pPr>
        <w:numPr>
          <w:ilvl w:val="0"/>
          <w:numId w:val="1"/>
        </w:numPr>
        <w:spacing w:line="360" w:lineRule="auto"/>
        <w:contextualSpacing/>
        <w:jc w:val="left"/>
        <w:rPr>
          <w:rFonts w:hint="default" w:cs="宋体" w:asciiTheme="minorEastAsia" w:hAnsiTheme="minorEastAsia"/>
          <w:b/>
          <w:bCs/>
          <w:color w:val="000000" w:themeColor="text1"/>
          <w:sz w:val="24"/>
          <w:lang w:val="en-US" w:eastAsia="zh-CN"/>
          <w14:textFill>
            <w14:solidFill>
              <w14:schemeClr w14:val="tx1"/>
            </w14:solidFill>
          </w14:textFill>
        </w:rPr>
      </w:pPr>
      <w:r>
        <w:rPr>
          <w:rFonts w:hint="eastAsia" w:cs="宋体" w:asciiTheme="minorEastAsia" w:hAnsiTheme="minorEastAsia"/>
          <w:b/>
          <w:bCs/>
          <w:color w:val="000000" w:themeColor="text1"/>
          <w:sz w:val="24"/>
          <w:lang w:val="en-US" w:eastAsia="zh-CN"/>
          <w14:textFill>
            <w14:solidFill>
              <w14:schemeClr w14:val="tx1"/>
            </w14:solidFill>
          </w14:textFill>
        </w:rPr>
        <w:t>报读优势：</w:t>
      </w:r>
    </w:p>
    <w:p w14:paraId="6E6B79B6">
      <w:pPr>
        <w:spacing w:line="360" w:lineRule="auto"/>
        <w:ind w:firstLine="480" w:firstLineChars="200"/>
        <w:contextualSpacing/>
        <w:jc w:val="left"/>
        <w:rPr>
          <w:rFonts w:hint="default" w:cs="宋体" w:asciiTheme="minorEastAsia" w:hAnsiTheme="minorEastAsia" w:eastAsiaTheme="minorEastAsia"/>
          <w:sz w:val="24"/>
          <w:lang w:val="en-US" w:eastAsia="zh-CN"/>
        </w:rPr>
      </w:pPr>
      <w:r>
        <w:rPr>
          <w:rFonts w:hint="eastAsia" w:cs="宋体" w:asciiTheme="minorEastAsia" w:hAnsiTheme="minorEastAsia"/>
          <w:sz w:val="24"/>
        </w:rPr>
        <w:t>【</w:t>
      </w:r>
      <w:r>
        <w:rPr>
          <w:rFonts w:hint="eastAsia" w:cs="宋体" w:asciiTheme="minorEastAsia" w:hAnsiTheme="minorEastAsia"/>
          <w:sz w:val="24"/>
          <w:lang w:val="en-US" w:eastAsia="zh-CN"/>
        </w:rPr>
        <w:t>一级</w:t>
      </w:r>
      <w:r>
        <w:rPr>
          <w:rFonts w:hint="eastAsia" w:cs="宋体" w:asciiTheme="minorEastAsia" w:hAnsiTheme="minorEastAsia"/>
          <w:sz w:val="24"/>
        </w:rPr>
        <w:t>学科】建筑学和设计学</w:t>
      </w:r>
      <w:r>
        <w:rPr>
          <w:rFonts w:hint="eastAsia" w:cs="宋体" w:asciiTheme="minorEastAsia" w:hAnsiTheme="minorEastAsia"/>
          <w:sz w:val="24"/>
          <w:lang w:val="en-US" w:eastAsia="zh-CN"/>
        </w:rPr>
        <w:t>是国家硕士学位一级学科，专业且师资强；</w:t>
      </w:r>
    </w:p>
    <w:p w14:paraId="12C8B81F">
      <w:pPr>
        <w:spacing w:line="360" w:lineRule="auto"/>
        <w:ind w:firstLine="480" w:firstLineChars="200"/>
        <w:contextualSpacing/>
        <w:jc w:val="left"/>
        <w:rPr>
          <w:rFonts w:cs="宋体" w:asciiTheme="minorEastAsia" w:hAnsiTheme="minorEastAsia"/>
          <w:sz w:val="24"/>
        </w:rPr>
      </w:pPr>
      <w:r>
        <w:rPr>
          <w:rFonts w:cs="宋体" w:asciiTheme="minorEastAsia" w:hAnsiTheme="minorEastAsia"/>
          <w:sz w:val="24"/>
        </w:rPr>
        <w:t>【免试入学】学员满足报读条件免试入学，</w:t>
      </w:r>
      <w:r>
        <w:rPr>
          <w:rFonts w:hint="eastAsia" w:cs="宋体" w:asciiTheme="minorEastAsia" w:hAnsiTheme="minorEastAsia"/>
          <w:sz w:val="24"/>
          <w:lang w:val="en-US" w:eastAsia="zh-CN"/>
        </w:rPr>
        <w:t>先学习课程然后再参加考试</w:t>
      </w:r>
      <w:r>
        <w:rPr>
          <w:rFonts w:cs="宋体" w:asciiTheme="minorEastAsia" w:hAnsiTheme="minorEastAsia"/>
          <w:sz w:val="24"/>
        </w:rPr>
        <w:t>；</w:t>
      </w:r>
    </w:p>
    <w:p w14:paraId="1DCA958D">
      <w:pPr>
        <w:spacing w:line="360" w:lineRule="auto"/>
        <w:ind w:firstLine="480" w:firstLineChars="200"/>
        <w:contextualSpacing/>
        <w:jc w:val="left"/>
        <w:rPr>
          <w:rFonts w:cs="宋体" w:asciiTheme="minorEastAsia" w:hAnsiTheme="minorEastAsia"/>
          <w:sz w:val="24"/>
        </w:rPr>
      </w:pPr>
      <w:r>
        <w:rPr>
          <w:rFonts w:hint="eastAsia" w:cs="宋体" w:asciiTheme="minorEastAsia" w:hAnsiTheme="minorEastAsia"/>
          <w:sz w:val="24"/>
        </w:rPr>
        <w:t>【</w:t>
      </w:r>
      <w:r>
        <w:rPr>
          <w:rFonts w:hint="eastAsia" w:cs="宋体" w:asciiTheme="minorEastAsia" w:hAnsiTheme="minorEastAsia"/>
          <w:sz w:val="24"/>
          <w:lang w:val="en-US" w:eastAsia="zh-CN"/>
        </w:rPr>
        <w:t>申硕</w:t>
      </w:r>
      <w:r>
        <w:rPr>
          <w:rFonts w:hint="eastAsia" w:cs="宋体" w:asciiTheme="minorEastAsia" w:hAnsiTheme="minorEastAsia"/>
          <w:sz w:val="24"/>
        </w:rPr>
        <w:t>仅考</w:t>
      </w:r>
      <w:r>
        <w:rPr>
          <w:rFonts w:hint="eastAsia" w:cs="宋体" w:asciiTheme="minorEastAsia" w:hAnsiTheme="minorEastAsia"/>
          <w:sz w:val="24"/>
          <w:lang w:val="en-US" w:eastAsia="zh-CN"/>
        </w:rPr>
        <w:t>1</w:t>
      </w:r>
      <w:r>
        <w:rPr>
          <w:rFonts w:hint="eastAsia" w:cs="宋体" w:asciiTheme="minorEastAsia" w:hAnsiTheme="minorEastAsia"/>
          <w:sz w:val="24"/>
        </w:rPr>
        <w:t>科】</w:t>
      </w:r>
      <w:r>
        <w:rPr>
          <w:rFonts w:hint="eastAsia" w:cs="宋体" w:asciiTheme="minorEastAsia" w:hAnsiTheme="minorEastAsia"/>
          <w:sz w:val="24"/>
          <w:lang w:val="en-US" w:eastAsia="zh-CN"/>
        </w:rPr>
        <w:t>设计学全国统考仅考英语1门</w:t>
      </w:r>
      <w:r>
        <w:rPr>
          <w:rFonts w:hint="eastAsia" w:cs="宋体" w:asciiTheme="minorEastAsia" w:hAnsiTheme="minorEastAsia"/>
          <w:sz w:val="24"/>
        </w:rPr>
        <w:t>，60分合格，难度较低；</w:t>
      </w:r>
    </w:p>
    <w:p w14:paraId="143DEF11">
      <w:pPr>
        <w:spacing w:line="360" w:lineRule="auto"/>
        <w:ind w:firstLine="480" w:firstLineChars="200"/>
        <w:contextualSpacing/>
        <w:jc w:val="left"/>
        <w:rPr>
          <w:rFonts w:cs="宋体" w:asciiTheme="minorEastAsia" w:hAnsiTheme="minorEastAsia"/>
          <w:sz w:val="24"/>
        </w:rPr>
      </w:pPr>
      <w:r>
        <w:rPr>
          <w:rFonts w:hint="eastAsia" w:cs="宋体" w:asciiTheme="minorEastAsia" w:hAnsiTheme="minorEastAsia"/>
          <w:sz w:val="24"/>
        </w:rPr>
        <w:t>【考试机会多】学员有</w:t>
      </w:r>
      <w:r>
        <w:rPr>
          <w:rFonts w:hint="eastAsia" w:cs="宋体" w:asciiTheme="minorEastAsia" w:hAnsiTheme="minorEastAsia"/>
          <w:sz w:val="24"/>
          <w:lang w:val="en-US" w:eastAsia="zh-CN"/>
        </w:rPr>
        <w:t>4</w:t>
      </w:r>
      <w:r>
        <w:rPr>
          <w:rFonts w:hint="eastAsia" w:cs="宋体" w:asciiTheme="minorEastAsia" w:hAnsiTheme="minorEastAsia"/>
          <w:sz w:val="24"/>
        </w:rPr>
        <w:t>次申硕考试机会，</w:t>
      </w:r>
      <w:r>
        <w:rPr>
          <w:rFonts w:hint="eastAsia" w:cs="宋体" w:asciiTheme="minorEastAsia" w:hAnsiTheme="minorEastAsia"/>
          <w:sz w:val="24"/>
          <w:lang w:val="en-US" w:eastAsia="zh-CN"/>
        </w:rPr>
        <w:t>多次机会考</w:t>
      </w:r>
      <w:r>
        <w:rPr>
          <w:rFonts w:hint="eastAsia" w:cs="宋体" w:asciiTheme="minorEastAsia" w:hAnsiTheme="minorEastAsia"/>
          <w:sz w:val="24"/>
        </w:rPr>
        <w:t>大大提升申硕通过率；</w:t>
      </w:r>
    </w:p>
    <w:p w14:paraId="26B368E8">
      <w:pPr>
        <w:spacing w:line="360" w:lineRule="auto"/>
        <w:ind w:firstLine="480" w:firstLineChars="200"/>
        <w:contextualSpacing/>
        <w:jc w:val="left"/>
        <w:rPr>
          <w:rFonts w:cs="宋体" w:asciiTheme="minorEastAsia" w:hAnsiTheme="minorEastAsia"/>
          <w:sz w:val="24"/>
        </w:rPr>
      </w:pPr>
      <w:r>
        <w:rPr>
          <w:rFonts w:hint="eastAsia" w:cs="宋体" w:asciiTheme="minorEastAsia" w:hAnsiTheme="minorEastAsia"/>
          <w:sz w:val="24"/>
        </w:rPr>
        <w:t>【灵活授课】设面授班、网络班，学员可根据自身实际情况选择学习班型；</w:t>
      </w:r>
    </w:p>
    <w:p w14:paraId="159643C0">
      <w:pPr>
        <w:spacing w:line="360" w:lineRule="auto"/>
        <w:ind w:firstLine="480" w:firstLineChars="200"/>
        <w:contextualSpacing/>
        <w:jc w:val="left"/>
        <w:rPr>
          <w:rFonts w:cs="宋体" w:asciiTheme="minorEastAsia" w:hAnsiTheme="minorEastAsia"/>
          <w:sz w:val="24"/>
        </w:rPr>
      </w:pPr>
      <w:r>
        <w:rPr>
          <w:rFonts w:hint="eastAsia" w:cs="宋体" w:asciiTheme="minorEastAsia" w:hAnsiTheme="minorEastAsia"/>
          <w:sz w:val="24"/>
        </w:rPr>
        <w:t>【拓展人脉】不定期举办线上主题讲座、开展小组论坛话题讨论，为学员提供更多的交流机会与人际拓展平台。</w:t>
      </w:r>
    </w:p>
    <w:p w14:paraId="7A62D448">
      <w:pPr>
        <w:tabs>
          <w:tab w:val="left" w:pos="4920"/>
        </w:tabs>
        <w:spacing w:line="360" w:lineRule="auto"/>
        <w:contextualSpacing/>
        <w:jc w:val="left"/>
        <w:rPr>
          <w:rFonts w:cs="宋体" w:asciiTheme="minorEastAsia" w:hAnsiTheme="minorEastAsia"/>
          <w:sz w:val="24"/>
        </w:rPr>
      </w:pPr>
      <w:r>
        <w:rPr>
          <w:rFonts w:cs="宋体" w:asciiTheme="minorEastAsia" w:hAnsiTheme="minorEastAsia"/>
          <w:sz w:val="24"/>
        </w:rPr>
        <w:tab/>
      </w:r>
    </w:p>
    <w:p w14:paraId="1050CF6E">
      <w:pPr>
        <w:numPr>
          <w:ilvl w:val="0"/>
          <w:numId w:val="1"/>
        </w:numPr>
        <w:spacing w:line="360" w:lineRule="auto"/>
        <w:ind w:left="0" w:leftChars="0" w:firstLine="0" w:firstLineChars="0"/>
        <w:contextualSpacing/>
        <w:jc w:val="left"/>
        <w:rPr>
          <w:rFonts w:hint="eastAsia" w:cs="宋体" w:asciiTheme="minorEastAsia" w:hAnsiTheme="minorEastAsia"/>
          <w:b/>
          <w:bCs/>
          <w:color w:val="000000" w:themeColor="text1"/>
          <w:sz w:val="24"/>
          <w:lang w:eastAsia="zh-CN"/>
          <w14:textFill>
            <w14:solidFill>
              <w14:schemeClr w14:val="tx1"/>
            </w14:solidFill>
          </w14:textFill>
        </w:rPr>
      </w:pPr>
      <w:r>
        <w:rPr>
          <w:rFonts w:hint="eastAsia" w:cs="宋体" w:asciiTheme="minorEastAsia" w:hAnsiTheme="minorEastAsia"/>
          <w:b/>
          <w:bCs/>
          <w:color w:val="000000" w:themeColor="text1"/>
          <w:sz w:val="24"/>
          <w:lang w:val="en-US" w:eastAsia="zh-CN"/>
          <w14:textFill>
            <w14:solidFill>
              <w14:schemeClr w14:val="tx1"/>
            </w14:solidFill>
          </w14:textFill>
        </w:rPr>
        <w:t>课程设置</w:t>
      </w:r>
      <w:r>
        <w:rPr>
          <w:rFonts w:hint="eastAsia" w:cs="宋体" w:asciiTheme="minorEastAsia" w:hAnsiTheme="minorEastAsia"/>
          <w:b/>
          <w:bCs/>
          <w:color w:val="000000" w:themeColor="text1"/>
          <w:sz w:val="24"/>
          <w:lang w:eastAsia="zh-CN"/>
          <w14:textFill>
            <w14:solidFill>
              <w14:schemeClr w14:val="tx1"/>
            </w14:solidFill>
          </w14:textFill>
        </w:rPr>
        <w:t>：</w:t>
      </w:r>
    </w:p>
    <w:tbl>
      <w:tblPr>
        <w:tblStyle w:val="6"/>
        <w:tblW w:w="852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89"/>
        <w:gridCol w:w="3660"/>
        <w:gridCol w:w="3472"/>
      </w:tblGrid>
      <w:tr w14:paraId="2B8598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21" w:type="dxa"/>
            <w:gridSpan w:val="3"/>
            <w:noWrap w:val="0"/>
            <w:vAlign w:val="top"/>
          </w:tcPr>
          <w:p w14:paraId="6F4FC84D">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eastAsia" w:eastAsia="宋体" w:cs="宋体"/>
                <w:i w:val="0"/>
                <w:iCs w:val="0"/>
                <w:caps w:val="0"/>
                <w:color w:val="000000"/>
                <w:spacing w:val="0"/>
                <w:sz w:val="24"/>
                <w:szCs w:val="24"/>
                <w:shd w:val="clear" w:fill="FFFFFF"/>
                <w:lang w:val="en-US" w:eastAsia="zh-CN"/>
              </w:rPr>
              <w:t>设计学</w:t>
            </w:r>
            <w:r>
              <w:rPr>
                <w:rFonts w:hint="eastAsia" w:eastAsia="宋体" w:cs="微软雅黑"/>
                <w:b/>
                <w:bCs/>
                <w:color w:val="000000"/>
                <w:sz w:val="24"/>
                <w:szCs w:val="24"/>
                <w:lang w:val="en-US" w:eastAsia="zh-CN" w:bidi="ar"/>
              </w:rPr>
              <w:t>专业课程设置</w:t>
            </w:r>
          </w:p>
        </w:tc>
      </w:tr>
      <w:tr w14:paraId="081B4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Merge w:val="restart"/>
            <w:noWrap w:val="0"/>
            <w:vAlign w:val="top"/>
          </w:tcPr>
          <w:p w14:paraId="620FD1DF">
            <w:pPr>
              <w:rPr>
                <w:rFonts w:hint="eastAsia" w:eastAsia="宋体" w:cs="微软雅黑"/>
                <w:b/>
                <w:bCs/>
                <w:color w:val="000000"/>
                <w:sz w:val="21"/>
                <w:szCs w:val="21"/>
                <w:lang w:val="en-US" w:eastAsia="zh-CN" w:bidi="ar"/>
              </w:rPr>
            </w:pPr>
          </w:p>
          <w:p w14:paraId="27CCA5E7">
            <w:pPr>
              <w:rPr>
                <w:rFonts w:hint="eastAsia" w:eastAsia="宋体" w:cs="微软雅黑"/>
                <w:b/>
                <w:bCs/>
                <w:color w:val="000000"/>
                <w:sz w:val="21"/>
                <w:szCs w:val="21"/>
                <w:lang w:val="en-US" w:eastAsia="zh-CN" w:bidi="ar"/>
              </w:rPr>
            </w:pPr>
          </w:p>
          <w:p w14:paraId="28EF3C65">
            <w:pPr>
              <w:ind w:firstLine="211" w:firstLineChars="100"/>
              <w:rPr>
                <w:rFonts w:hint="default" w:eastAsia="宋体" w:cs="微软雅黑"/>
                <w:b w:val="0"/>
                <w:color w:val="000000"/>
                <w:sz w:val="21"/>
                <w:szCs w:val="21"/>
                <w:lang w:val="en-US" w:eastAsia="zh-CN" w:bidi="ar"/>
              </w:rPr>
            </w:pPr>
            <w:r>
              <w:rPr>
                <w:rFonts w:hint="eastAsia" w:eastAsia="宋体" w:cs="微软雅黑"/>
                <w:b/>
                <w:bCs/>
                <w:color w:val="000000"/>
                <w:sz w:val="21"/>
                <w:szCs w:val="21"/>
                <w:lang w:val="en-US" w:eastAsia="zh-CN" w:bidi="ar"/>
              </w:rPr>
              <w:t>基础课</w:t>
            </w:r>
          </w:p>
        </w:tc>
        <w:tc>
          <w:tcPr>
            <w:tcW w:w="3660" w:type="dxa"/>
            <w:noWrap w:val="0"/>
            <w:vAlign w:val="top"/>
          </w:tcPr>
          <w:p w14:paraId="04CC29CC">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eastAsia" w:eastAsia="宋体" w:cs="微软雅黑"/>
                <w:b w:val="0"/>
                <w:color w:val="000000"/>
                <w:sz w:val="21"/>
                <w:szCs w:val="21"/>
                <w:lang w:val="en-US" w:eastAsia="zh-CN" w:bidi="ar"/>
              </w:rPr>
              <w:t>中国特色社会主义理论与实践</w:t>
            </w:r>
          </w:p>
        </w:tc>
        <w:tc>
          <w:tcPr>
            <w:tcW w:w="3472" w:type="dxa"/>
            <w:noWrap w:val="0"/>
            <w:vAlign w:val="top"/>
          </w:tcPr>
          <w:p w14:paraId="33A1BA14">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eastAsia" w:ascii="宋体" w:hAnsi="宋体" w:eastAsia="宋体" w:cs="微软雅黑"/>
                <w:b w:val="0"/>
                <w:color w:val="000000"/>
                <w:kern w:val="0"/>
                <w:sz w:val="21"/>
                <w:szCs w:val="21"/>
                <w:lang w:val="en-US" w:eastAsia="zh-CN" w:bidi="ar"/>
              </w:rPr>
              <w:t>自然辩证法概论</w:t>
            </w:r>
          </w:p>
        </w:tc>
      </w:tr>
      <w:tr w14:paraId="14E0C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Merge w:val="continue"/>
            <w:noWrap w:val="0"/>
            <w:vAlign w:val="top"/>
          </w:tcPr>
          <w:p w14:paraId="3804FF78">
            <w:pPr>
              <w:pStyle w:val="2"/>
              <w:widowControl/>
              <w:spacing w:before="225" w:beforeAutospacing="0" w:after="75" w:afterAutospacing="0"/>
              <w:jc w:val="center"/>
              <w:rPr>
                <w:rFonts w:hint="eastAsia" w:eastAsia="宋体" w:cs="微软雅黑"/>
                <w:b w:val="0"/>
                <w:color w:val="000000"/>
                <w:sz w:val="21"/>
                <w:szCs w:val="21"/>
                <w:lang w:val="en-US" w:eastAsia="zh-CN" w:bidi="ar"/>
              </w:rPr>
            </w:pPr>
          </w:p>
        </w:tc>
        <w:tc>
          <w:tcPr>
            <w:tcW w:w="3660" w:type="dxa"/>
            <w:noWrap w:val="0"/>
            <w:vAlign w:val="top"/>
          </w:tcPr>
          <w:p w14:paraId="2F81271D">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eastAsia" w:eastAsia="宋体" w:cs="微软雅黑"/>
                <w:b w:val="0"/>
                <w:color w:val="000000"/>
                <w:kern w:val="0"/>
                <w:sz w:val="21"/>
                <w:szCs w:val="21"/>
                <w:lang w:val="en-US" w:eastAsia="zh-CN" w:bidi="ar"/>
              </w:rPr>
              <w:t>英语</w:t>
            </w:r>
          </w:p>
        </w:tc>
        <w:tc>
          <w:tcPr>
            <w:tcW w:w="3472" w:type="dxa"/>
            <w:noWrap w:val="0"/>
            <w:vAlign w:val="top"/>
          </w:tcPr>
          <w:p w14:paraId="6449F6D4">
            <w:pPr>
              <w:pStyle w:val="2"/>
              <w:widowControl/>
              <w:spacing w:before="225" w:beforeAutospacing="0" w:after="75" w:afterAutospacing="0"/>
              <w:jc w:val="center"/>
              <w:rPr>
                <w:rFonts w:hint="default" w:eastAsia="宋体" w:cs="微软雅黑"/>
                <w:b w:val="0"/>
                <w:color w:val="000000"/>
                <w:sz w:val="21"/>
                <w:szCs w:val="21"/>
                <w:lang w:val="en-US" w:eastAsia="zh-CN" w:bidi="ar"/>
              </w:rPr>
            </w:pPr>
          </w:p>
        </w:tc>
      </w:tr>
      <w:tr w14:paraId="4D911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Merge w:val="restart"/>
            <w:noWrap w:val="0"/>
            <w:vAlign w:val="top"/>
          </w:tcPr>
          <w:p w14:paraId="78976287">
            <w:pPr>
              <w:pStyle w:val="2"/>
              <w:widowControl/>
              <w:spacing w:before="225" w:beforeAutospacing="0" w:after="75" w:afterAutospacing="0"/>
              <w:jc w:val="center"/>
              <w:rPr>
                <w:rFonts w:hint="default"/>
                <w:lang w:val="en-US" w:eastAsia="zh-CN"/>
              </w:rPr>
            </w:pPr>
          </w:p>
          <w:p w14:paraId="289AB5B9">
            <w:pPr>
              <w:rPr>
                <w:rFonts w:hint="default" w:eastAsia="宋体" w:cs="微软雅黑"/>
                <w:b w:val="0"/>
                <w:color w:val="000000"/>
                <w:sz w:val="21"/>
                <w:szCs w:val="21"/>
                <w:lang w:val="en-US" w:eastAsia="zh-CN" w:bidi="ar"/>
              </w:rPr>
            </w:pPr>
          </w:p>
          <w:p w14:paraId="327AE98A">
            <w:pPr>
              <w:rPr>
                <w:rFonts w:hint="eastAsia" w:eastAsia="宋体" w:cs="微软雅黑"/>
                <w:b w:val="0"/>
                <w:color w:val="000000"/>
                <w:sz w:val="21"/>
                <w:szCs w:val="21"/>
                <w:lang w:val="en-US" w:eastAsia="zh-CN" w:bidi="ar"/>
              </w:rPr>
            </w:pPr>
            <w:r>
              <w:rPr>
                <w:rFonts w:hint="eastAsia" w:eastAsia="宋体" w:cs="微软雅黑"/>
                <w:b w:val="0"/>
                <w:color w:val="000000"/>
                <w:sz w:val="21"/>
                <w:szCs w:val="21"/>
                <w:lang w:val="en-US" w:eastAsia="zh-CN" w:bidi="ar"/>
              </w:rPr>
              <w:t xml:space="preserve">   </w:t>
            </w:r>
          </w:p>
          <w:p w14:paraId="19A22F86">
            <w:pPr>
              <w:ind w:firstLine="211" w:firstLineChars="100"/>
              <w:rPr>
                <w:rFonts w:hint="default" w:eastAsia="宋体" w:cs="微软雅黑"/>
                <w:b w:val="0"/>
                <w:color w:val="000000"/>
                <w:sz w:val="21"/>
                <w:szCs w:val="21"/>
                <w:lang w:val="en-US" w:eastAsia="zh-CN" w:bidi="ar"/>
              </w:rPr>
            </w:pPr>
            <w:r>
              <w:rPr>
                <w:rFonts w:hint="eastAsia" w:eastAsia="宋体" w:cs="微软雅黑"/>
                <w:b/>
                <w:bCs/>
                <w:color w:val="000000"/>
                <w:sz w:val="21"/>
                <w:szCs w:val="21"/>
                <w:lang w:val="en-US" w:eastAsia="zh-CN" w:bidi="ar"/>
              </w:rPr>
              <w:t>专业课</w:t>
            </w:r>
          </w:p>
        </w:tc>
        <w:tc>
          <w:tcPr>
            <w:tcW w:w="3660" w:type="dxa"/>
            <w:noWrap w:val="0"/>
            <w:vAlign w:val="top"/>
          </w:tcPr>
          <w:p w14:paraId="4A074CE0">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eastAsia="宋体" w:cs="微软雅黑"/>
                <w:b w:val="0"/>
                <w:color w:val="000000"/>
                <w:sz w:val="21"/>
                <w:szCs w:val="21"/>
                <w:lang w:val="en-US" w:eastAsia="zh-CN" w:bidi="ar"/>
              </w:rPr>
            </w:pPr>
            <w:r>
              <w:rPr>
                <w:rFonts w:hint="default" w:eastAsia="宋体" w:cs="微软雅黑"/>
                <w:b w:val="0"/>
                <w:color w:val="000000"/>
                <w:sz w:val="21"/>
                <w:szCs w:val="21"/>
                <w:lang w:val="en-US" w:eastAsia="zh-CN" w:bidi="ar"/>
              </w:rPr>
              <w:t>设计美学</w:t>
            </w:r>
          </w:p>
        </w:tc>
        <w:tc>
          <w:tcPr>
            <w:tcW w:w="3472" w:type="dxa"/>
            <w:noWrap w:val="0"/>
            <w:vAlign w:val="top"/>
          </w:tcPr>
          <w:p w14:paraId="315D4A7A">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eastAsia="宋体" w:cs="微软雅黑"/>
                <w:b w:val="0"/>
                <w:color w:val="000000"/>
                <w:sz w:val="21"/>
                <w:szCs w:val="21"/>
                <w:lang w:val="en-US" w:eastAsia="zh-CN" w:bidi="ar"/>
              </w:rPr>
            </w:pPr>
            <w:r>
              <w:rPr>
                <w:rFonts w:hint="default" w:eastAsia="宋体" w:cs="微软雅黑"/>
                <w:b w:val="0"/>
                <w:color w:val="000000"/>
                <w:sz w:val="21"/>
                <w:szCs w:val="21"/>
                <w:lang w:val="en-US" w:eastAsia="zh-CN" w:bidi="ar"/>
              </w:rPr>
              <w:t>设计心理学研究</w:t>
            </w:r>
          </w:p>
        </w:tc>
      </w:tr>
      <w:tr w14:paraId="71261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Merge w:val="continue"/>
            <w:noWrap w:val="0"/>
            <w:vAlign w:val="top"/>
          </w:tcPr>
          <w:p w14:paraId="7CA17683">
            <w:pPr>
              <w:pStyle w:val="2"/>
              <w:widowControl/>
              <w:spacing w:before="225" w:beforeAutospacing="0" w:after="75" w:afterAutospacing="0"/>
              <w:jc w:val="center"/>
              <w:rPr>
                <w:rFonts w:hint="default" w:eastAsia="宋体" w:cs="微软雅黑"/>
                <w:b w:val="0"/>
                <w:color w:val="000000"/>
                <w:sz w:val="21"/>
                <w:szCs w:val="21"/>
                <w:lang w:val="en-US" w:eastAsia="zh-CN" w:bidi="ar"/>
              </w:rPr>
            </w:pPr>
          </w:p>
        </w:tc>
        <w:tc>
          <w:tcPr>
            <w:tcW w:w="3660" w:type="dxa"/>
            <w:noWrap w:val="0"/>
            <w:vAlign w:val="top"/>
          </w:tcPr>
          <w:p w14:paraId="76413A2D">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eastAsia" w:eastAsia="宋体" w:cs="微软雅黑"/>
                <w:b w:val="0"/>
                <w:color w:val="000000"/>
                <w:sz w:val="21"/>
                <w:szCs w:val="21"/>
                <w:lang w:val="en-US" w:eastAsia="zh-CN" w:bidi="ar"/>
              </w:rPr>
              <w:t xml:space="preserve">    </w:t>
            </w:r>
            <w:r>
              <w:rPr>
                <w:rFonts w:hint="default" w:eastAsia="宋体" w:cs="微软雅黑"/>
                <w:b w:val="0"/>
                <w:color w:val="000000"/>
                <w:sz w:val="21"/>
                <w:szCs w:val="21"/>
                <w:lang w:val="en-US" w:eastAsia="zh-CN" w:bidi="ar"/>
              </w:rPr>
              <w:t>概念设计   </w:t>
            </w:r>
          </w:p>
        </w:tc>
        <w:tc>
          <w:tcPr>
            <w:tcW w:w="3472" w:type="dxa"/>
            <w:noWrap w:val="0"/>
            <w:vAlign w:val="top"/>
          </w:tcPr>
          <w:p w14:paraId="6188847B">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default" w:eastAsia="宋体" w:cs="微软雅黑"/>
                <w:b w:val="0"/>
                <w:color w:val="000000"/>
                <w:sz w:val="21"/>
                <w:szCs w:val="21"/>
                <w:lang w:val="en-US" w:eastAsia="zh-CN" w:bidi="ar"/>
              </w:rPr>
              <w:t>创新设计原理研究</w:t>
            </w:r>
          </w:p>
        </w:tc>
      </w:tr>
      <w:tr w14:paraId="0F5FA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Merge w:val="continue"/>
            <w:noWrap w:val="0"/>
            <w:vAlign w:val="top"/>
          </w:tcPr>
          <w:p w14:paraId="22562761">
            <w:pPr>
              <w:pStyle w:val="2"/>
              <w:widowControl/>
              <w:spacing w:before="225" w:beforeAutospacing="0" w:after="75" w:afterAutospacing="0"/>
              <w:jc w:val="center"/>
              <w:rPr>
                <w:rFonts w:hint="default" w:eastAsia="宋体" w:cs="微软雅黑"/>
                <w:b w:val="0"/>
                <w:color w:val="000000"/>
                <w:sz w:val="21"/>
                <w:szCs w:val="21"/>
                <w:lang w:val="en-US" w:eastAsia="zh-CN" w:bidi="ar"/>
              </w:rPr>
            </w:pPr>
          </w:p>
        </w:tc>
        <w:tc>
          <w:tcPr>
            <w:tcW w:w="3660" w:type="dxa"/>
            <w:noWrap w:val="0"/>
            <w:vAlign w:val="top"/>
          </w:tcPr>
          <w:p w14:paraId="13E83E72">
            <w:pPr>
              <w:pStyle w:val="2"/>
              <w:widowControl/>
              <w:spacing w:before="225" w:beforeAutospacing="0" w:after="75" w:afterAutospacing="0"/>
              <w:jc w:val="center"/>
              <w:rPr>
                <w:rFonts w:hint="default" w:eastAsia="宋体" w:cs="微软雅黑"/>
                <w:b w:val="0"/>
                <w:bCs/>
                <w:color w:val="000000"/>
                <w:sz w:val="21"/>
                <w:szCs w:val="21"/>
                <w:lang w:val="en-US" w:eastAsia="zh-CN" w:bidi="ar"/>
              </w:rPr>
            </w:pPr>
            <w:r>
              <w:rPr>
                <w:rFonts w:hint="default" w:eastAsia="宋体" w:cs="微软雅黑"/>
                <w:b w:val="0"/>
                <w:bCs/>
                <w:color w:val="000000"/>
                <w:sz w:val="21"/>
                <w:szCs w:val="21"/>
                <w:lang w:val="en-US" w:eastAsia="zh-CN" w:bidi="ar"/>
              </w:rPr>
              <w:t>设计艺术评析</w:t>
            </w:r>
          </w:p>
        </w:tc>
        <w:tc>
          <w:tcPr>
            <w:tcW w:w="3472" w:type="dxa"/>
            <w:noWrap w:val="0"/>
            <w:vAlign w:val="top"/>
          </w:tcPr>
          <w:p w14:paraId="4894FE55">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default" w:eastAsia="宋体" w:cs="微软雅黑"/>
                <w:b w:val="0"/>
                <w:color w:val="000000"/>
                <w:sz w:val="21"/>
                <w:szCs w:val="21"/>
                <w:lang w:val="en-US" w:eastAsia="zh-CN" w:bidi="ar"/>
              </w:rPr>
              <w:t>产品设计研究  </w:t>
            </w:r>
          </w:p>
        </w:tc>
      </w:tr>
      <w:tr w14:paraId="7FA87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Merge w:val="continue"/>
            <w:noWrap w:val="0"/>
            <w:vAlign w:val="top"/>
          </w:tcPr>
          <w:p w14:paraId="505849BC">
            <w:pPr>
              <w:pStyle w:val="2"/>
              <w:widowControl/>
              <w:spacing w:before="225" w:beforeAutospacing="0" w:after="75" w:afterAutospacing="0"/>
              <w:jc w:val="center"/>
              <w:rPr>
                <w:rFonts w:hint="default" w:eastAsia="宋体" w:cs="微软雅黑"/>
                <w:b w:val="0"/>
                <w:color w:val="000000"/>
                <w:sz w:val="21"/>
                <w:szCs w:val="21"/>
                <w:lang w:val="en-US" w:eastAsia="zh-CN" w:bidi="ar"/>
              </w:rPr>
            </w:pPr>
          </w:p>
        </w:tc>
        <w:tc>
          <w:tcPr>
            <w:tcW w:w="3660" w:type="dxa"/>
            <w:noWrap w:val="0"/>
            <w:vAlign w:val="top"/>
          </w:tcPr>
          <w:p w14:paraId="09C37811">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default" w:eastAsia="宋体" w:cs="微软雅黑"/>
                <w:b w:val="0"/>
                <w:color w:val="000000"/>
                <w:sz w:val="21"/>
                <w:szCs w:val="21"/>
                <w:lang w:val="en-US" w:eastAsia="zh-CN" w:bidi="ar"/>
              </w:rPr>
              <w:t>设计艺术史论</w:t>
            </w:r>
          </w:p>
        </w:tc>
        <w:tc>
          <w:tcPr>
            <w:tcW w:w="3472" w:type="dxa"/>
            <w:noWrap w:val="0"/>
            <w:vAlign w:val="top"/>
          </w:tcPr>
          <w:p w14:paraId="018799DB">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default" w:eastAsia="宋体" w:cs="微软雅黑"/>
                <w:b w:val="0"/>
                <w:color w:val="000000"/>
                <w:sz w:val="21"/>
                <w:szCs w:val="21"/>
                <w:lang w:val="en-US" w:eastAsia="zh-CN" w:bidi="ar"/>
              </w:rPr>
              <w:t>中西传统文化比较</w:t>
            </w:r>
          </w:p>
        </w:tc>
      </w:tr>
      <w:tr w14:paraId="025CE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Merge w:val="restart"/>
            <w:noWrap w:val="0"/>
            <w:vAlign w:val="center"/>
          </w:tcPr>
          <w:p w14:paraId="2A0745BB">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eastAsia" w:eastAsia="宋体" w:cs="微软雅黑"/>
                <w:b/>
                <w:bCs/>
                <w:color w:val="000000"/>
                <w:sz w:val="21"/>
                <w:szCs w:val="21"/>
                <w:lang w:val="en-US" w:eastAsia="zh-CN" w:bidi="ar"/>
              </w:rPr>
              <w:t>选修课</w:t>
            </w:r>
          </w:p>
        </w:tc>
        <w:tc>
          <w:tcPr>
            <w:tcW w:w="3660" w:type="dxa"/>
            <w:noWrap w:val="0"/>
            <w:vAlign w:val="top"/>
          </w:tcPr>
          <w:p w14:paraId="091EAEF5">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Calibri" w:hAnsi="Calibri" w:eastAsia="宋体" w:cs="Times New Roman"/>
                <w:b w:val="0"/>
                <w:bCs/>
                <w:kern w:val="2"/>
                <w:sz w:val="21"/>
                <w:szCs w:val="21"/>
                <w:lang w:val="en-US" w:eastAsia="zh-CN" w:bidi="ar-SA"/>
              </w:rPr>
            </w:pPr>
            <w:r>
              <w:rPr>
                <w:rFonts w:hint="default" w:ascii="Calibri" w:hAnsi="Calibri" w:eastAsia="宋体" w:cs="Times New Roman"/>
                <w:b w:val="0"/>
                <w:bCs/>
                <w:kern w:val="2"/>
                <w:sz w:val="21"/>
                <w:szCs w:val="21"/>
                <w:lang w:val="en-US" w:eastAsia="zh-CN" w:bidi="ar-SA"/>
              </w:rPr>
              <w:t>视觉媒体与表现</w:t>
            </w:r>
          </w:p>
        </w:tc>
        <w:tc>
          <w:tcPr>
            <w:tcW w:w="3472" w:type="dxa"/>
            <w:noWrap w:val="0"/>
            <w:vAlign w:val="top"/>
          </w:tcPr>
          <w:p w14:paraId="518CF16B">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Calibri" w:hAnsi="Calibri" w:eastAsia="宋体" w:cs="Times New Roman"/>
                <w:b w:val="0"/>
                <w:bCs/>
                <w:kern w:val="2"/>
                <w:sz w:val="21"/>
                <w:szCs w:val="21"/>
                <w:lang w:val="en-US" w:eastAsia="zh-CN" w:bidi="ar-SA"/>
              </w:rPr>
            </w:pPr>
            <w:r>
              <w:rPr>
                <w:rFonts w:hint="default" w:ascii="Calibri" w:hAnsi="Calibri" w:eastAsia="宋体" w:cs="Times New Roman"/>
                <w:b w:val="0"/>
                <w:bCs/>
                <w:kern w:val="2"/>
                <w:sz w:val="21"/>
                <w:szCs w:val="21"/>
                <w:lang w:val="en-US" w:eastAsia="zh-CN" w:bidi="ar-SA"/>
              </w:rPr>
              <w:t>环境艺术理论与设计 </w:t>
            </w:r>
          </w:p>
        </w:tc>
      </w:tr>
      <w:tr w14:paraId="0CB72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Merge w:val="continue"/>
            <w:noWrap w:val="0"/>
            <w:vAlign w:val="top"/>
          </w:tcPr>
          <w:p w14:paraId="40BC36B6">
            <w:pPr>
              <w:pStyle w:val="2"/>
              <w:widowControl/>
              <w:spacing w:before="225" w:beforeAutospacing="0" w:after="75" w:afterAutospacing="0"/>
              <w:jc w:val="center"/>
              <w:rPr>
                <w:rFonts w:hint="default" w:eastAsia="宋体" w:cs="微软雅黑"/>
                <w:b w:val="0"/>
                <w:color w:val="000000"/>
                <w:sz w:val="21"/>
                <w:szCs w:val="21"/>
                <w:lang w:val="en-US" w:eastAsia="zh-CN" w:bidi="ar"/>
              </w:rPr>
            </w:pPr>
          </w:p>
        </w:tc>
        <w:tc>
          <w:tcPr>
            <w:tcW w:w="3660" w:type="dxa"/>
            <w:noWrap w:val="0"/>
            <w:vAlign w:val="top"/>
          </w:tcPr>
          <w:p w14:paraId="7B9864A7">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Calibri" w:hAnsi="Calibri" w:eastAsia="宋体" w:cs="Times New Roman"/>
                <w:b w:val="0"/>
                <w:bCs/>
                <w:kern w:val="2"/>
                <w:sz w:val="21"/>
                <w:szCs w:val="21"/>
                <w:lang w:val="en-US" w:eastAsia="zh-CN" w:bidi="ar-SA"/>
              </w:rPr>
            </w:pPr>
            <w:r>
              <w:rPr>
                <w:rFonts w:hint="default" w:ascii="Calibri" w:hAnsi="Calibri" w:eastAsia="宋体" w:cs="Times New Roman"/>
                <w:b w:val="0"/>
                <w:bCs/>
                <w:kern w:val="2"/>
                <w:sz w:val="21"/>
                <w:szCs w:val="21"/>
                <w:lang w:val="en-US" w:eastAsia="zh-CN" w:bidi="ar-SA"/>
              </w:rPr>
              <w:t> 设计艺术名著导读</w:t>
            </w:r>
          </w:p>
        </w:tc>
        <w:tc>
          <w:tcPr>
            <w:tcW w:w="3472" w:type="dxa"/>
            <w:noWrap w:val="0"/>
            <w:vAlign w:val="top"/>
          </w:tcPr>
          <w:p w14:paraId="4F0EE406">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Calibri" w:hAnsi="Calibri" w:eastAsia="宋体" w:cs="Times New Roman"/>
                <w:b w:val="0"/>
                <w:bCs/>
                <w:kern w:val="2"/>
                <w:sz w:val="21"/>
                <w:szCs w:val="21"/>
                <w:lang w:val="en-US" w:eastAsia="zh-CN" w:bidi="ar-SA"/>
              </w:rPr>
            </w:pPr>
            <w:r>
              <w:rPr>
                <w:rFonts w:hint="default" w:ascii="Calibri" w:hAnsi="Calibri" w:eastAsia="宋体" w:cs="Times New Roman"/>
                <w:b w:val="0"/>
                <w:bCs/>
                <w:kern w:val="2"/>
                <w:sz w:val="21"/>
                <w:szCs w:val="21"/>
                <w:lang w:val="en-US" w:eastAsia="zh-CN" w:bidi="ar-SA"/>
              </w:rPr>
              <w:t>现代设计理论与方法</w:t>
            </w:r>
          </w:p>
        </w:tc>
      </w:tr>
    </w:tbl>
    <w:p w14:paraId="6E15758B">
      <w:pPr>
        <w:widowControl w:val="0"/>
        <w:numPr>
          <w:ilvl w:val="0"/>
          <w:numId w:val="0"/>
        </w:numPr>
        <w:spacing w:line="360" w:lineRule="auto"/>
        <w:contextualSpacing/>
        <w:jc w:val="center"/>
        <w:rPr>
          <w:rFonts w:hint="default" w:cs="宋体" w:asciiTheme="minorEastAsia" w:hAnsiTheme="minorEastAsia"/>
          <w:b w:val="0"/>
          <w:bCs w:val="0"/>
          <w:color w:val="000000" w:themeColor="text1"/>
          <w:sz w:val="21"/>
          <w:szCs w:val="21"/>
          <w:lang w:val="en-US" w:eastAsia="zh-CN"/>
          <w14:textFill>
            <w14:solidFill>
              <w14:schemeClr w14:val="tx1"/>
            </w14:solidFill>
          </w14:textFill>
        </w:rPr>
      </w:pPr>
      <w:r>
        <w:rPr>
          <w:rFonts w:hint="eastAsia" w:cs="宋体" w:asciiTheme="minorEastAsia" w:hAnsiTheme="minorEastAsia"/>
          <w:b w:val="0"/>
          <w:bCs w:val="0"/>
          <w:color w:val="000000" w:themeColor="text1"/>
          <w:sz w:val="21"/>
          <w:szCs w:val="21"/>
          <w:lang w:val="en-US" w:eastAsia="zh-CN"/>
          <w14:textFill>
            <w14:solidFill>
              <w14:schemeClr w14:val="tx1"/>
            </w14:solidFill>
          </w14:textFill>
        </w:rPr>
        <w:t>注：具体课程以实际学校安排为准</w:t>
      </w:r>
    </w:p>
    <w:p w14:paraId="24D7B87C">
      <w:pPr>
        <w:widowControl w:val="0"/>
        <w:numPr>
          <w:ilvl w:val="0"/>
          <w:numId w:val="0"/>
        </w:numPr>
        <w:spacing w:line="360" w:lineRule="auto"/>
        <w:contextualSpacing/>
        <w:jc w:val="left"/>
        <w:rPr>
          <w:rFonts w:hint="eastAsia" w:cs="宋体" w:asciiTheme="minorEastAsia" w:hAnsiTheme="minorEastAsia"/>
          <w:b/>
          <w:bCs/>
          <w:color w:val="000000" w:themeColor="text1"/>
          <w:sz w:val="24"/>
          <w:lang w:eastAsia="zh-CN"/>
          <w14:textFill>
            <w14:solidFill>
              <w14:schemeClr w14:val="tx1"/>
            </w14:solidFill>
          </w14:textFill>
        </w:rPr>
      </w:pPr>
    </w:p>
    <w:p w14:paraId="13F2A604">
      <w:pPr>
        <w:numPr>
          <w:ilvl w:val="0"/>
          <w:numId w:val="1"/>
        </w:numPr>
        <w:spacing w:line="360" w:lineRule="auto"/>
        <w:ind w:left="0" w:leftChars="0" w:firstLine="0" w:firstLineChars="0"/>
        <w:contextualSpacing/>
        <w:jc w:val="left"/>
        <w:rPr>
          <w:rFonts w:hint="eastAsia" w:cs="宋体" w:asciiTheme="minorEastAsia" w:hAnsiTheme="minorEastAsia"/>
          <w:b/>
          <w:bCs/>
          <w:color w:val="000000" w:themeColor="text1"/>
          <w:sz w:val="24"/>
          <w:lang w:eastAsia="zh-CN"/>
          <w14:textFill>
            <w14:solidFill>
              <w14:schemeClr w14:val="tx1"/>
            </w14:solidFill>
          </w14:textFill>
        </w:rPr>
      </w:pPr>
      <w:r>
        <w:rPr>
          <w:rFonts w:hint="eastAsia" w:cs="宋体" w:asciiTheme="minorEastAsia" w:hAnsiTheme="minorEastAsia"/>
          <w:b/>
          <w:bCs/>
          <w:color w:val="000000" w:themeColor="text1"/>
          <w:sz w:val="24"/>
          <w:lang w:val="en-US" w:eastAsia="zh-CN"/>
          <w14:textFill>
            <w14:solidFill>
              <w14:schemeClr w14:val="tx1"/>
            </w14:solidFill>
          </w14:textFill>
        </w:rPr>
        <w:t>报名条件：</w:t>
      </w:r>
    </w:p>
    <w:p w14:paraId="2677BE0B">
      <w:pPr>
        <w:spacing w:line="360" w:lineRule="auto"/>
        <w:ind w:firstLine="480" w:firstLineChars="200"/>
        <w:contextualSpacing/>
        <w:jc w:val="left"/>
        <w:rPr>
          <w:rFonts w:hint="eastAsia" w:cs="宋体" w:asciiTheme="minorEastAsia" w:hAnsiTheme="minorEastAsia"/>
          <w:sz w:val="24"/>
          <w:lang w:val="en-US" w:eastAsia="zh-CN"/>
        </w:rPr>
      </w:pPr>
      <w:r>
        <w:rPr>
          <w:rFonts w:hint="eastAsia" w:cs="宋体" w:asciiTheme="minorEastAsia" w:hAnsiTheme="minorEastAsia"/>
          <w:sz w:val="24"/>
          <w:lang w:val="en-US" w:eastAsia="zh-CN"/>
        </w:rPr>
        <w:t>1、已获得学士学位，并在获得学士学位后工作3年以上者；</w:t>
      </w:r>
    </w:p>
    <w:p w14:paraId="41AEC29E">
      <w:pPr>
        <w:spacing w:line="360" w:lineRule="auto"/>
        <w:ind w:firstLine="480" w:firstLineChars="200"/>
        <w:contextualSpacing/>
        <w:jc w:val="left"/>
        <w:rPr>
          <w:rFonts w:hint="eastAsia" w:cs="宋体" w:asciiTheme="minorEastAsia" w:hAnsiTheme="minorEastAsia"/>
          <w:sz w:val="24"/>
          <w:lang w:val="en-US" w:eastAsia="zh-CN"/>
        </w:rPr>
      </w:pPr>
      <w:r>
        <w:rPr>
          <w:rFonts w:hint="eastAsia" w:cs="宋体" w:asciiTheme="minorEastAsia" w:hAnsiTheme="minorEastAsia"/>
          <w:sz w:val="24"/>
          <w:lang w:val="en-US" w:eastAsia="zh-CN"/>
        </w:rPr>
        <w:t>2、虽无学士学位但已获得硕士或博士学位者；或通过教育部留学服务中心认证的国（境）外学士(获得学士学位后工作3年以上)、硕士或博士学位获得者。</w:t>
      </w:r>
    </w:p>
    <w:p w14:paraId="0CB9CCB3">
      <w:pPr>
        <w:spacing w:line="360" w:lineRule="auto"/>
        <w:ind w:firstLine="480" w:firstLineChars="200"/>
        <w:contextualSpacing/>
        <w:jc w:val="left"/>
        <w:rPr>
          <w:rFonts w:hint="eastAsia" w:cs="宋体" w:asciiTheme="minorEastAsia" w:hAnsiTheme="minorEastAsia"/>
          <w:sz w:val="24"/>
          <w:lang w:val="en-US" w:eastAsia="zh-CN"/>
        </w:rPr>
      </w:pPr>
      <w:r>
        <w:rPr>
          <w:rFonts w:hint="eastAsia" w:cs="宋体" w:asciiTheme="minorEastAsia" w:hAnsiTheme="minorEastAsia"/>
          <w:sz w:val="24"/>
          <w:lang w:val="en-US" w:eastAsia="zh-CN"/>
        </w:rPr>
        <w:t>3、在申请学位的专业或相近专业做出成绩，学术水平或专业技术水平已达到所申请学位专业的毕业研究生同等水平。</w:t>
      </w:r>
    </w:p>
    <w:p w14:paraId="1921AB90">
      <w:pPr>
        <w:spacing w:line="360" w:lineRule="auto"/>
        <w:ind w:firstLine="482" w:firstLineChars="200"/>
        <w:contextualSpacing/>
        <w:jc w:val="left"/>
        <w:rPr>
          <w:rFonts w:hint="eastAsia" w:cs="宋体" w:asciiTheme="minorEastAsia" w:hAnsiTheme="minorEastAsia"/>
          <w:b/>
          <w:bCs/>
          <w:color w:val="FF0000"/>
          <w:sz w:val="24"/>
          <w:lang w:val="en-US" w:eastAsia="zh-CN"/>
        </w:rPr>
      </w:pPr>
      <w:r>
        <w:rPr>
          <w:rFonts w:hint="eastAsia" w:cs="宋体" w:asciiTheme="minorEastAsia" w:hAnsiTheme="minorEastAsia"/>
          <w:b/>
          <w:bCs/>
          <w:color w:val="FF0000"/>
          <w:sz w:val="24"/>
          <w:lang w:val="en-US" w:eastAsia="zh-CN"/>
        </w:rPr>
        <w:t>注：不接收跨学科学生</w:t>
      </w:r>
    </w:p>
    <w:p w14:paraId="0072EB1E">
      <w:pPr>
        <w:spacing w:line="360" w:lineRule="auto"/>
        <w:ind w:firstLine="482" w:firstLineChars="200"/>
        <w:contextualSpacing/>
        <w:jc w:val="left"/>
        <w:rPr>
          <w:rFonts w:hint="eastAsia" w:cs="宋体" w:asciiTheme="minorEastAsia" w:hAnsiTheme="minorEastAsia"/>
          <w:b/>
          <w:bCs/>
          <w:color w:val="FF0000"/>
          <w:sz w:val="24"/>
          <w:lang w:val="en-US" w:eastAsia="zh-CN"/>
        </w:rPr>
      </w:pPr>
    </w:p>
    <w:p w14:paraId="0709848B">
      <w:pPr>
        <w:spacing w:line="360" w:lineRule="auto"/>
        <w:contextualSpacing/>
        <w:jc w:val="left"/>
        <w:rPr>
          <w:rFonts w:hint="eastAsia" w:cs="宋体" w:asciiTheme="minorEastAsia" w:hAnsiTheme="minorEastAsia" w:eastAsiaTheme="minorEastAsia"/>
          <w:b/>
          <w:bCs/>
          <w:color w:val="000000" w:themeColor="text1"/>
          <w:sz w:val="24"/>
          <w:lang w:eastAsia="zh-CN"/>
          <w14:textFill>
            <w14:solidFill>
              <w14:schemeClr w14:val="tx1"/>
            </w14:solidFill>
          </w14:textFill>
        </w:rPr>
      </w:pPr>
      <w:r>
        <w:rPr>
          <w:rFonts w:hint="eastAsia" w:cs="宋体" w:asciiTheme="minorEastAsia" w:hAnsiTheme="minorEastAsia"/>
          <w:b/>
          <w:bCs/>
          <w:color w:val="000000" w:themeColor="text1"/>
          <w:sz w:val="24"/>
          <w:lang w:val="en-US" w:eastAsia="zh-CN"/>
          <w14:textFill>
            <w14:solidFill>
              <w14:schemeClr w14:val="tx1"/>
            </w14:solidFill>
          </w14:textFill>
        </w:rPr>
        <w:t>六、</w:t>
      </w:r>
      <w:r>
        <w:rPr>
          <w:rFonts w:hint="eastAsia" w:cs="宋体" w:asciiTheme="minorEastAsia" w:hAnsiTheme="minorEastAsia"/>
          <w:b/>
          <w:bCs/>
          <w:color w:val="000000" w:themeColor="text1"/>
          <w:sz w:val="24"/>
          <w14:textFill>
            <w14:solidFill>
              <w14:schemeClr w14:val="tx1"/>
            </w14:solidFill>
          </w14:textFill>
        </w:rPr>
        <w:t>收费标准</w:t>
      </w:r>
      <w:r>
        <w:rPr>
          <w:rFonts w:hint="eastAsia" w:cs="宋体" w:asciiTheme="minorEastAsia" w:hAnsiTheme="minorEastAsia"/>
          <w:b/>
          <w:bCs/>
          <w:color w:val="000000" w:themeColor="text1"/>
          <w:sz w:val="24"/>
          <w:lang w:eastAsia="zh-CN"/>
          <w14:textFill>
            <w14:solidFill>
              <w14:schemeClr w14:val="tx1"/>
            </w14:solidFill>
          </w14:textFill>
        </w:rPr>
        <w:t>：</w:t>
      </w:r>
    </w:p>
    <w:p w14:paraId="3DF56DD7">
      <w:pPr>
        <w:pStyle w:val="5"/>
        <w:spacing w:beforeAutospacing="0" w:afterAutospacing="0" w:line="360" w:lineRule="auto"/>
        <w:ind w:firstLine="480" w:firstLineChars="200"/>
        <w:contextualSpacing/>
        <w:jc w:val="both"/>
        <w:rPr>
          <w:rFonts w:hint="eastAsia" w:cs="仿宋_GB2312" w:asciiTheme="minorEastAsia" w:hAnsiTheme="minorEastAsia"/>
          <w:color w:val="000000"/>
        </w:rPr>
      </w:pPr>
      <w:r>
        <w:rPr>
          <w:rFonts w:hint="eastAsia" w:cs="仿宋_GB2312" w:asciiTheme="minorEastAsia" w:hAnsiTheme="minorEastAsia"/>
          <w:color w:val="000000"/>
          <w:lang w:val="en-US" w:eastAsia="zh-CN"/>
        </w:rPr>
        <w:t>1、</w:t>
      </w:r>
      <w:r>
        <w:rPr>
          <w:rFonts w:hint="eastAsia" w:cs="仿宋_GB2312" w:asciiTheme="minorEastAsia" w:hAnsiTheme="minorEastAsia"/>
          <w:color w:val="000000"/>
        </w:rPr>
        <w:t>课程学习培养费1</w:t>
      </w:r>
      <w:r>
        <w:rPr>
          <w:rFonts w:hint="eastAsia" w:cs="仿宋_GB2312" w:asciiTheme="minorEastAsia" w:hAnsiTheme="minorEastAsia"/>
          <w:color w:val="000000"/>
          <w:lang w:val="en-US" w:eastAsia="zh-CN"/>
        </w:rPr>
        <w:t>81</w:t>
      </w:r>
      <w:r>
        <w:rPr>
          <w:rFonts w:hint="eastAsia" w:cs="仿宋_GB2312" w:asciiTheme="minorEastAsia" w:hAnsiTheme="minorEastAsia"/>
          <w:color w:val="000000"/>
        </w:rPr>
        <w:t>00元</w:t>
      </w:r>
    </w:p>
    <w:p w14:paraId="1F5CBB18">
      <w:pPr>
        <w:pStyle w:val="5"/>
        <w:spacing w:beforeAutospacing="0" w:afterAutospacing="0" w:line="360" w:lineRule="auto"/>
        <w:ind w:firstLine="480" w:firstLineChars="200"/>
        <w:contextualSpacing/>
        <w:jc w:val="both"/>
        <w:rPr>
          <w:rFonts w:hint="eastAsia" w:cs="仿宋_GB2312" w:asciiTheme="minorEastAsia" w:hAnsiTheme="minorEastAsia"/>
          <w:color w:val="000000"/>
        </w:rPr>
      </w:pPr>
      <w:r>
        <w:rPr>
          <w:rFonts w:hint="eastAsia" w:cs="仿宋_GB2312" w:asciiTheme="minorEastAsia" w:hAnsiTheme="minorEastAsia"/>
          <w:color w:val="000000"/>
          <w:lang w:val="en-US" w:eastAsia="zh-CN"/>
        </w:rPr>
        <w:t>2、</w:t>
      </w:r>
      <w:r>
        <w:rPr>
          <w:rFonts w:hint="eastAsia" w:cs="仿宋_GB2312" w:asciiTheme="minorEastAsia" w:hAnsiTheme="minorEastAsia"/>
          <w:color w:val="000000"/>
        </w:rPr>
        <w:t>学位论文答辩费1</w:t>
      </w:r>
      <w:r>
        <w:rPr>
          <w:rFonts w:hint="eastAsia" w:cs="仿宋_GB2312" w:asciiTheme="minorEastAsia" w:hAnsiTheme="minorEastAsia"/>
          <w:color w:val="000000"/>
          <w:lang w:val="en-US" w:eastAsia="zh-CN"/>
        </w:rPr>
        <w:t>6</w:t>
      </w:r>
      <w:r>
        <w:rPr>
          <w:rFonts w:hint="eastAsia" w:cs="仿宋_GB2312" w:asciiTheme="minorEastAsia" w:hAnsiTheme="minorEastAsia"/>
          <w:color w:val="000000"/>
        </w:rPr>
        <w:t>000元</w:t>
      </w:r>
    </w:p>
    <w:p w14:paraId="01C51B90">
      <w:pPr>
        <w:spacing w:line="360" w:lineRule="auto"/>
        <w:contextualSpacing/>
        <w:jc w:val="left"/>
        <w:rPr>
          <w:rFonts w:cs="宋体" w:asciiTheme="minorEastAsia" w:hAnsiTheme="minorEastAsia"/>
          <w:color w:val="000000" w:themeColor="text1"/>
          <w:sz w:val="24"/>
          <w14:textFill>
            <w14:solidFill>
              <w14:schemeClr w14:val="tx1"/>
            </w14:solidFill>
          </w14:textFill>
        </w:rPr>
      </w:pPr>
    </w:p>
    <w:p w14:paraId="10B33095">
      <w:pPr>
        <w:spacing w:line="360" w:lineRule="auto"/>
        <w:contextualSpacing/>
        <w:jc w:val="left"/>
        <w:rPr>
          <w:rFonts w:hint="eastAsia" w:cs="宋体" w:asciiTheme="minorEastAsia" w:hAnsiTheme="minorEastAsia" w:eastAsiaTheme="minorEastAsia"/>
          <w:b/>
          <w:bCs/>
          <w:color w:val="000000" w:themeColor="text1"/>
          <w:sz w:val="24"/>
          <w:lang w:eastAsia="zh-CN"/>
          <w14:textFill>
            <w14:solidFill>
              <w14:schemeClr w14:val="tx1"/>
            </w14:solidFill>
          </w14:textFill>
        </w:rPr>
      </w:pPr>
      <w:r>
        <w:rPr>
          <w:rFonts w:hint="eastAsia" w:cs="宋体" w:asciiTheme="minorEastAsia" w:hAnsiTheme="minorEastAsia"/>
          <w:b/>
          <w:bCs/>
          <w:color w:val="000000" w:themeColor="text1"/>
          <w:sz w:val="24"/>
          <w:lang w:val="en-US" w:eastAsia="zh-CN"/>
          <w14:textFill>
            <w14:solidFill>
              <w14:schemeClr w14:val="tx1"/>
            </w14:solidFill>
          </w14:textFill>
        </w:rPr>
        <w:t>七</w:t>
      </w:r>
      <w:r>
        <w:rPr>
          <w:rFonts w:hint="eastAsia" w:cs="宋体" w:asciiTheme="minorEastAsia" w:hAnsiTheme="minorEastAsia"/>
          <w:b/>
          <w:bCs/>
          <w:color w:val="000000" w:themeColor="text1"/>
          <w:sz w:val="24"/>
          <w14:textFill>
            <w14:solidFill>
              <w14:schemeClr w14:val="tx1"/>
            </w14:solidFill>
          </w14:textFill>
        </w:rPr>
        <w:t>、培养方式</w:t>
      </w:r>
      <w:r>
        <w:rPr>
          <w:rFonts w:hint="eastAsia" w:cs="宋体" w:asciiTheme="minorEastAsia" w:hAnsiTheme="minorEastAsia"/>
          <w:b/>
          <w:bCs/>
          <w:color w:val="000000" w:themeColor="text1"/>
          <w:sz w:val="24"/>
          <w:lang w:eastAsia="zh-CN"/>
          <w14:textFill>
            <w14:solidFill>
              <w14:schemeClr w14:val="tx1"/>
            </w14:solidFill>
          </w14:textFill>
        </w:rPr>
        <w:t>：</w:t>
      </w:r>
    </w:p>
    <w:p w14:paraId="30A89EE4">
      <w:pPr>
        <w:spacing w:line="360" w:lineRule="auto"/>
        <w:ind w:firstLine="480" w:firstLineChars="200"/>
        <w:contextualSpacing/>
        <w:jc w:val="left"/>
        <w:rPr>
          <w:rFonts w:cs="宋体" w:asciiTheme="minorEastAsia" w:hAnsiTheme="minorEastAsia"/>
          <w:sz w:val="24"/>
        </w:rPr>
      </w:pPr>
      <w:r>
        <w:rPr>
          <w:rFonts w:hint="eastAsia" w:cs="宋体" w:asciiTheme="minorEastAsia" w:hAnsiTheme="minorEastAsia"/>
          <w:sz w:val="24"/>
        </w:rPr>
        <w:t>1、学习时间：学制两年；</w:t>
      </w:r>
    </w:p>
    <w:p w14:paraId="05B7E9A2">
      <w:pPr>
        <w:spacing w:line="360" w:lineRule="auto"/>
        <w:ind w:firstLine="480" w:firstLineChars="200"/>
        <w:contextualSpacing/>
        <w:jc w:val="left"/>
        <w:rPr>
          <w:rFonts w:cs="宋体" w:asciiTheme="minorEastAsia" w:hAnsiTheme="minorEastAsia"/>
          <w:sz w:val="24"/>
        </w:rPr>
      </w:pPr>
      <w:r>
        <w:rPr>
          <w:rFonts w:hint="eastAsia" w:cs="宋体" w:asciiTheme="minorEastAsia" w:hAnsiTheme="minorEastAsia"/>
          <w:sz w:val="24"/>
        </w:rPr>
        <w:t>2、授课方式：校本部面授学习、异地教学中心网络学习相结合的授课方式；面授时间利用周末及公众节假日集中授课，学习期间采取理论与实践相结合、课堂讲授与自学相结合的方式。</w:t>
      </w:r>
    </w:p>
    <w:p w14:paraId="40843FE4">
      <w:pPr>
        <w:spacing w:line="360" w:lineRule="auto"/>
        <w:contextualSpacing/>
        <w:jc w:val="left"/>
        <w:rPr>
          <w:rFonts w:cs="宋体" w:asciiTheme="minorEastAsia" w:hAnsiTheme="minorEastAsia"/>
          <w:sz w:val="24"/>
        </w:rPr>
      </w:pPr>
    </w:p>
    <w:p w14:paraId="24C6A8D8">
      <w:pPr>
        <w:spacing w:line="360" w:lineRule="auto"/>
        <w:contextualSpacing/>
        <w:jc w:val="left"/>
        <w:rPr>
          <w:rFonts w:hint="eastAsia" w:cs="宋体" w:asciiTheme="minorEastAsia" w:hAnsiTheme="minorEastAsia"/>
          <w:sz w:val="24"/>
        </w:rPr>
      </w:pPr>
      <w:r>
        <w:rPr>
          <w:rFonts w:hint="eastAsia" w:cs="宋体" w:asciiTheme="minorEastAsia" w:hAnsiTheme="minorEastAsia"/>
          <w:b/>
          <w:bCs/>
          <w:color w:val="000000" w:themeColor="text1"/>
          <w:sz w:val="24"/>
          <w:lang w:val="en-US" w:eastAsia="zh-CN"/>
          <w14:textFill>
            <w14:solidFill>
              <w14:schemeClr w14:val="tx1"/>
            </w14:solidFill>
          </w14:textFill>
        </w:rPr>
        <w:t>八</w:t>
      </w:r>
      <w:r>
        <w:rPr>
          <w:rFonts w:hint="eastAsia" w:cs="宋体" w:asciiTheme="minorEastAsia" w:hAnsiTheme="minorEastAsia"/>
          <w:b/>
          <w:bCs/>
          <w:color w:val="000000" w:themeColor="text1"/>
          <w:sz w:val="24"/>
          <w14:textFill>
            <w14:solidFill>
              <w14:schemeClr w14:val="tx1"/>
            </w14:solidFill>
          </w14:textFill>
        </w:rPr>
        <w:t>、报名手续</w:t>
      </w:r>
      <w:r>
        <w:rPr>
          <w:rFonts w:hint="eastAsia" w:cs="宋体" w:asciiTheme="minorEastAsia" w:hAnsiTheme="minorEastAsia"/>
          <w:b/>
          <w:bCs/>
          <w:color w:val="000000" w:themeColor="text1"/>
          <w:sz w:val="24"/>
          <w:lang w:eastAsia="zh-CN"/>
          <w14:textFill>
            <w14:solidFill>
              <w14:schemeClr w14:val="tx1"/>
            </w14:solidFill>
          </w14:textFill>
        </w:rPr>
        <w:t>：</w:t>
      </w:r>
    </w:p>
    <w:p w14:paraId="79E8AECB">
      <w:pPr>
        <w:pStyle w:val="5"/>
        <w:spacing w:beforeAutospacing="0" w:afterAutospacing="0" w:line="360" w:lineRule="auto"/>
        <w:ind w:firstLine="480" w:firstLineChars="200"/>
        <w:contextualSpacing/>
        <w:jc w:val="both"/>
        <w:rPr>
          <w:rFonts w:hint="eastAsia" w:cs="仿宋_GB2312" w:asciiTheme="minorEastAsia" w:hAnsiTheme="minorEastAsia"/>
          <w:color w:val="000000"/>
          <w:lang w:val="en-US" w:eastAsia="zh-CN"/>
        </w:rPr>
      </w:pPr>
      <w:r>
        <w:rPr>
          <w:rFonts w:hint="eastAsia" w:cs="仿宋_GB2312" w:asciiTheme="minorEastAsia" w:hAnsiTheme="minorEastAsia"/>
          <w:color w:val="000000"/>
          <w:lang w:val="en-US" w:eastAsia="zh-CN"/>
        </w:rPr>
        <w:t>1、同等学力人员申硕申请硕士学位情况表；</w:t>
      </w:r>
    </w:p>
    <w:p w14:paraId="0E146C57">
      <w:pPr>
        <w:pStyle w:val="5"/>
        <w:spacing w:beforeAutospacing="0" w:afterAutospacing="0" w:line="360" w:lineRule="auto"/>
        <w:ind w:firstLine="480" w:firstLineChars="200"/>
        <w:contextualSpacing/>
        <w:jc w:val="both"/>
        <w:rPr>
          <w:rFonts w:hint="eastAsia" w:cs="仿宋_GB2312" w:asciiTheme="minorEastAsia" w:hAnsiTheme="minorEastAsia"/>
          <w:color w:val="000000"/>
          <w:lang w:val="en-US" w:eastAsia="zh-CN"/>
        </w:rPr>
      </w:pPr>
      <w:r>
        <w:rPr>
          <w:rFonts w:hint="eastAsia" w:cs="仿宋_GB2312" w:asciiTheme="minorEastAsia" w:hAnsiTheme="minorEastAsia"/>
          <w:color w:val="000000"/>
          <w:lang w:val="en-US" w:eastAsia="zh-CN"/>
        </w:rPr>
        <w:t>2、二代居民身份证原件及复印件；</w:t>
      </w:r>
    </w:p>
    <w:p w14:paraId="4C2CD176">
      <w:pPr>
        <w:pStyle w:val="5"/>
        <w:spacing w:beforeAutospacing="0" w:afterAutospacing="0" w:line="360" w:lineRule="auto"/>
        <w:ind w:firstLine="480" w:firstLineChars="200"/>
        <w:contextualSpacing/>
        <w:jc w:val="both"/>
        <w:rPr>
          <w:rFonts w:hint="eastAsia" w:cs="仿宋_GB2312" w:asciiTheme="minorEastAsia" w:hAnsiTheme="minorEastAsia"/>
          <w:color w:val="000000"/>
          <w:lang w:val="en-US" w:eastAsia="zh-CN"/>
        </w:rPr>
      </w:pPr>
      <w:r>
        <w:rPr>
          <w:rFonts w:hint="eastAsia" w:cs="仿宋_GB2312" w:asciiTheme="minorEastAsia" w:hAnsiTheme="minorEastAsia"/>
          <w:color w:val="000000"/>
          <w:lang w:val="en-US" w:eastAsia="zh-CN"/>
        </w:rPr>
        <w:t>3、学历证书、学位证书原件及复印件；</w:t>
      </w:r>
    </w:p>
    <w:p w14:paraId="45CC1281">
      <w:pPr>
        <w:pStyle w:val="5"/>
        <w:spacing w:beforeAutospacing="0" w:afterAutospacing="0" w:line="360" w:lineRule="auto"/>
        <w:ind w:firstLine="480" w:firstLineChars="200"/>
        <w:contextualSpacing/>
        <w:jc w:val="both"/>
        <w:rPr>
          <w:rFonts w:hint="eastAsia" w:cs="仿宋_GB2312" w:asciiTheme="minorEastAsia" w:hAnsiTheme="minorEastAsia"/>
          <w:color w:val="000000"/>
          <w:lang w:val="en-US" w:eastAsia="zh-CN"/>
        </w:rPr>
      </w:pPr>
      <w:r>
        <w:rPr>
          <w:rFonts w:hint="eastAsia" w:cs="仿宋_GB2312" w:asciiTheme="minorEastAsia" w:hAnsiTheme="minorEastAsia"/>
          <w:color w:val="000000"/>
          <w:lang w:val="en-US" w:eastAsia="zh-CN"/>
        </w:rPr>
        <w:t>4、中国高等教育学位在线验证报告或学位认证报告；</w:t>
      </w:r>
    </w:p>
    <w:p w14:paraId="46FF1D67">
      <w:pPr>
        <w:pStyle w:val="5"/>
        <w:spacing w:beforeAutospacing="0" w:afterAutospacing="0" w:line="360" w:lineRule="auto"/>
        <w:ind w:firstLine="480" w:firstLineChars="200"/>
        <w:contextualSpacing/>
        <w:jc w:val="both"/>
        <w:rPr>
          <w:rFonts w:hint="eastAsia" w:cs="仿宋_GB2312" w:asciiTheme="minorEastAsia" w:hAnsiTheme="minorEastAsia"/>
          <w:color w:val="000000"/>
          <w:lang w:val="en-US" w:eastAsia="zh-CN"/>
        </w:rPr>
      </w:pPr>
      <w:r>
        <w:rPr>
          <w:rFonts w:hint="eastAsia" w:cs="仿宋_GB2312" w:asciiTheme="minorEastAsia" w:hAnsiTheme="minorEastAsia"/>
          <w:color w:val="000000"/>
          <w:lang w:val="en-US" w:eastAsia="zh-CN"/>
        </w:rPr>
        <w:t>5、蓝底电子证件照。</w:t>
      </w:r>
    </w:p>
    <w:p w14:paraId="1CD58516">
      <w:pPr>
        <w:spacing w:line="360" w:lineRule="auto"/>
        <w:contextualSpacing/>
        <w:jc w:val="left"/>
        <w:rPr>
          <w:rFonts w:cs="宋体" w:asciiTheme="minorEastAsia" w:hAnsiTheme="minorEastAsia"/>
          <w:sz w:val="24"/>
        </w:rPr>
      </w:pPr>
    </w:p>
    <w:p w14:paraId="2118F56A">
      <w:pPr>
        <w:spacing w:line="360" w:lineRule="auto"/>
        <w:contextualSpacing/>
        <w:jc w:val="left"/>
        <w:rPr>
          <w:rFonts w:hint="eastAsia" w:cs="宋体" w:asciiTheme="minorEastAsia" w:hAnsiTheme="minorEastAsia" w:eastAsiaTheme="minorEastAsia"/>
          <w:b/>
          <w:bCs/>
          <w:color w:val="000000" w:themeColor="text1"/>
          <w:sz w:val="24"/>
          <w:lang w:eastAsia="zh-CN"/>
          <w14:textFill>
            <w14:solidFill>
              <w14:schemeClr w14:val="tx1"/>
            </w14:solidFill>
          </w14:textFill>
        </w:rPr>
      </w:pPr>
      <w:r>
        <w:rPr>
          <w:rFonts w:hint="eastAsia" w:cs="宋体" w:asciiTheme="minorEastAsia" w:hAnsiTheme="minorEastAsia"/>
          <w:b/>
          <w:bCs/>
          <w:color w:val="000000" w:themeColor="text1"/>
          <w:sz w:val="24"/>
          <w:lang w:val="en-US" w:eastAsia="zh-CN"/>
          <w14:textFill>
            <w14:solidFill>
              <w14:schemeClr w14:val="tx1"/>
            </w14:solidFill>
          </w14:textFill>
        </w:rPr>
        <w:t>九</w:t>
      </w:r>
      <w:r>
        <w:rPr>
          <w:rFonts w:hint="eastAsia" w:cs="宋体" w:asciiTheme="minorEastAsia" w:hAnsiTheme="minorEastAsia"/>
          <w:b/>
          <w:bCs/>
          <w:color w:val="000000" w:themeColor="text1"/>
          <w:sz w:val="24"/>
          <w14:textFill>
            <w14:solidFill>
              <w14:schemeClr w14:val="tx1"/>
            </w14:solidFill>
          </w14:textFill>
        </w:rPr>
        <w:t>、获取证书</w:t>
      </w:r>
      <w:r>
        <w:rPr>
          <w:rFonts w:hint="eastAsia" w:cs="宋体" w:asciiTheme="minorEastAsia" w:hAnsiTheme="minorEastAsia"/>
          <w:b/>
          <w:bCs/>
          <w:color w:val="000000" w:themeColor="text1"/>
          <w:sz w:val="24"/>
          <w:lang w:eastAsia="zh-CN"/>
          <w14:textFill>
            <w14:solidFill>
              <w14:schemeClr w14:val="tx1"/>
            </w14:solidFill>
          </w14:textFill>
        </w:rPr>
        <w:t>：</w:t>
      </w:r>
    </w:p>
    <w:p w14:paraId="4833AECE">
      <w:pPr>
        <w:spacing w:line="360" w:lineRule="auto"/>
        <w:ind w:firstLine="480" w:firstLineChars="200"/>
        <w:contextualSpacing/>
        <w:jc w:val="left"/>
        <w:rPr>
          <w:rFonts w:hint="eastAsia" w:cs="宋体" w:asciiTheme="minorEastAsia" w:hAnsiTheme="minorEastAsia"/>
          <w:sz w:val="24"/>
        </w:rPr>
      </w:pPr>
      <w:r>
        <w:rPr>
          <w:rFonts w:hint="eastAsia" w:cs="宋体" w:asciiTheme="minorEastAsia" w:hAnsiTheme="minorEastAsia"/>
          <w:sz w:val="24"/>
        </w:rPr>
        <w:t>申请人资格审查之日起，必须在4年内修完所申请专业硕士研究生培养方案规定的课程，按要求参加考试，取得合格成绩，修满规定的学分，并且通过同等学力人员申请硕士学位外国语水平全国统一考试和学科综合水平全国统一考试；在省级及以上学术期刊发表一篇与专业相关的论文（本人独著或第一作者）；在6年内进行硕士学位论文答辩。通过同等学力水平认定，经我校学位委员会批准，授予硕士学位并颁发学位证书。</w:t>
      </w:r>
    </w:p>
    <w:p w14:paraId="2A358652">
      <w:pPr>
        <w:spacing w:line="360" w:lineRule="auto"/>
        <w:ind w:firstLine="480" w:firstLineChars="200"/>
        <w:contextualSpacing/>
        <w:jc w:val="left"/>
        <w:rPr>
          <w:rFonts w:hint="eastAsia" w:cs="宋体" w:asciiTheme="minorEastAsia" w:hAnsiTheme="minorEastAsia"/>
          <w:sz w:val="24"/>
        </w:rPr>
      </w:pPr>
    </w:p>
    <w:p w14:paraId="1FCDA826">
      <w:pPr>
        <w:jc w:val="both"/>
        <w:rPr>
          <w:rFonts w:hint="eastAsia" w:cs="宋体" w:asciiTheme="majorEastAsia" w:hAnsiTheme="majorEastAsia" w:eastAsiaTheme="majorEastAsia"/>
          <w:b/>
          <w:bCs/>
          <w:sz w:val="36"/>
          <w:szCs w:val="36"/>
        </w:rPr>
      </w:pPr>
      <w:bookmarkStart w:id="0" w:name="_GoBack"/>
      <w:bookmarkEnd w:id="0"/>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KabelCBook">
    <w:altName w:val="★懐流体"/>
    <w:panose1 w:val="00000000000000000000"/>
    <w:charset w:val="00"/>
    <w:family w:val="auto"/>
    <w:pitch w:val="default"/>
    <w:sig w:usb0="00000000" w:usb1="00000000" w:usb2="00000000" w:usb3="00000000" w:csb0="00000000" w:csb1="00000000"/>
  </w:font>
  <w:font w:name="Glyphicons Halflings">
    <w:altName w:val="★懐流体"/>
    <w:panose1 w:val="00000000000000000000"/>
    <w:charset w:val="00"/>
    <w:family w:val="auto"/>
    <w:pitch w:val="default"/>
    <w:sig w:usb0="00000000" w:usb1="00000000" w:usb2="00000000" w:usb3="00000000" w:csb0="00000000" w:csb1="00000000"/>
  </w:font>
  <w:font w:name="Consolas">
    <w:panose1 w:val="020B0609020204030204"/>
    <w:charset w:val="00"/>
    <w:family w:val="auto"/>
    <w:pitch w:val="default"/>
    <w:sig w:usb0="E00006FF" w:usb1="0000FCFF" w:usb2="00000001" w:usb3="00000000" w:csb0="6000019F" w:csb1="DFD70000"/>
  </w:font>
  <w:font w:name="Arial">
    <w:panose1 w:val="020B0604020202020204"/>
    <w:charset w:val="00"/>
    <w:family w:val="auto"/>
    <w:pitch w:val="default"/>
    <w:sig w:usb0="E0002EFF" w:usb1="C000785B" w:usb2="00000009" w:usb3="00000000" w:csb0="400001FF" w:csb1="FFFF0000"/>
  </w:font>
  <w:font w:name="★懐流体">
    <w:panose1 w:val="02000600000000000000"/>
    <w:charset w:val="80"/>
    <w:family w:val="auto"/>
    <w:pitch w:val="default"/>
    <w:sig w:usb0="A00002BF" w:usb1="68C7FCFB" w:usb2="00000010" w:usb3="00000000" w:csb0="4002009F" w:csb1="DFD7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9187D3">
    <w:pPr>
      <w:pStyle w:val="4"/>
    </w:pPr>
    <w:r>
      <w:rPr>
        <w:sz w:val="18"/>
      </w:rPr>
      <w:drawing>
        <wp:anchor distT="0" distB="0" distL="114300" distR="114300" simplePos="0" relativeHeight="251659264" behindDoc="1" locked="0" layoutInCell="1" allowOverlap="1">
          <wp:simplePos x="0" y="0"/>
          <wp:positionH relativeFrom="margin">
            <wp:align>center</wp:align>
          </wp:positionH>
          <wp:positionV relativeFrom="margin">
            <wp:align>center</wp:align>
          </wp:positionV>
          <wp:extent cx="5274310" cy="5233035"/>
          <wp:effectExtent l="0" t="0" r="2540" b="5715"/>
          <wp:wrapNone/>
          <wp:docPr id="2" name="WordPictureWatermark11602" descr="南昌大学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ordPictureWatermark11602" descr="南昌大学LOGO"/>
                  <pic:cNvPicPr>
                    <a:picLocks noChangeAspect="1"/>
                  </pic:cNvPicPr>
                </pic:nvPicPr>
                <pic:blipFill>
                  <a:blip r:embed="rId1">
                    <a:lum bright="70000" contrast="-70000"/>
                  </a:blip>
                  <a:stretch>
                    <a:fillRect/>
                  </a:stretch>
                </pic:blipFill>
                <pic:spPr>
                  <a:xfrm>
                    <a:off x="0" y="0"/>
                    <a:ext cx="5274310" cy="5233035"/>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054B580"/>
    <w:multiLevelType w:val="singleLevel"/>
    <w:tmpl w:val="9054B580"/>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Q5ODQ5N2Q1NmI0ZDAwYTJiMTcyMmU3ZjhhMWE4NmEifQ=="/>
  </w:docVars>
  <w:rsids>
    <w:rsidRoot w:val="4EA60DAF"/>
    <w:rsid w:val="012A0152"/>
    <w:rsid w:val="01952485"/>
    <w:rsid w:val="08206641"/>
    <w:rsid w:val="09903C9B"/>
    <w:rsid w:val="0BEB6F66"/>
    <w:rsid w:val="0F22295F"/>
    <w:rsid w:val="125E7D71"/>
    <w:rsid w:val="162A63E6"/>
    <w:rsid w:val="23081069"/>
    <w:rsid w:val="2B606F94"/>
    <w:rsid w:val="3A541CD3"/>
    <w:rsid w:val="3BE155F6"/>
    <w:rsid w:val="3CBB4B41"/>
    <w:rsid w:val="446B64B3"/>
    <w:rsid w:val="452C63A7"/>
    <w:rsid w:val="4CD410EB"/>
    <w:rsid w:val="4EA60DAF"/>
    <w:rsid w:val="508605D9"/>
    <w:rsid w:val="56D96AA1"/>
    <w:rsid w:val="62255368"/>
    <w:rsid w:val="63456FA8"/>
    <w:rsid w:val="68693117"/>
    <w:rsid w:val="71E73E39"/>
    <w:rsid w:val="776B3A09"/>
    <w:rsid w:val="79FF4CD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6"/>
    <w:basedOn w:val="1"/>
    <w:next w:val="1"/>
    <w:qFormat/>
    <w:uiPriority w:val="0"/>
    <w:pPr>
      <w:spacing w:before="100" w:beforeAutospacing="1" w:after="100" w:afterAutospacing="1"/>
      <w:jc w:val="left"/>
      <w:outlineLvl w:val="5"/>
    </w:pPr>
    <w:rPr>
      <w:rFonts w:ascii="宋体" w:hAnsi="宋体"/>
      <w:b/>
      <w:kern w:val="0"/>
      <w:sz w:val="15"/>
      <w:szCs w:val="15"/>
    </w:rPr>
  </w:style>
  <w:style w:type="character" w:default="1" w:styleId="8">
    <w:name w:val="Default Paragraph Font"/>
    <w:semiHidden/>
    <w:qFormat/>
    <w:uiPriority w:val="0"/>
  </w:style>
  <w:style w:type="table" w:default="1" w:styleId="6">
    <w:name w:val="Normal Table"/>
    <w:autoRedefine/>
    <w:semiHidden/>
    <w:qFormat/>
    <w:uiPriority w:val="0"/>
    <w:tblPr>
      <w:tblCellMar>
        <w:top w:w="0" w:type="dxa"/>
        <w:left w:w="108" w:type="dxa"/>
        <w:bottom w:w="0" w:type="dxa"/>
        <w:right w:w="108" w:type="dxa"/>
      </w:tblCellMar>
    </w:tblPr>
  </w:style>
  <w:style w:type="paragraph" w:styleId="3">
    <w:name w:val="footer"/>
    <w:basedOn w:val="1"/>
    <w:autoRedefine/>
    <w:qFormat/>
    <w:uiPriority w:val="0"/>
    <w:pPr>
      <w:tabs>
        <w:tab w:val="center" w:pos="4153"/>
        <w:tab w:val="right" w:pos="8306"/>
      </w:tabs>
      <w:snapToGrid w:val="0"/>
      <w:jc w:val="left"/>
    </w:pPr>
    <w:rPr>
      <w:sz w:val="18"/>
    </w:rPr>
  </w:style>
  <w:style w:type="paragraph" w:styleId="4">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autoRedefine/>
    <w:qFormat/>
    <w:uiPriority w:val="99"/>
    <w:pPr>
      <w:spacing w:beforeAutospacing="1" w:afterAutospacing="1"/>
      <w:jc w:val="left"/>
    </w:pPr>
    <w:rPr>
      <w:rFonts w:cs="Times New Roman"/>
      <w:kern w:val="0"/>
      <w:sz w:val="24"/>
    </w:rPr>
  </w:style>
  <w:style w:type="table" w:styleId="7">
    <w:name w:val="Table Grid"/>
    <w:basedOn w:val="6"/>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Strong"/>
    <w:basedOn w:val="8"/>
    <w:autoRedefine/>
    <w:qFormat/>
    <w:uiPriority w:val="0"/>
    <w:rPr>
      <w:b/>
      <w:bCs/>
    </w:rPr>
  </w:style>
  <w:style w:type="character" w:styleId="10">
    <w:name w:val="FollowedHyperlink"/>
    <w:basedOn w:val="8"/>
    <w:uiPriority w:val="0"/>
    <w:rPr>
      <w:color w:val="337AB7"/>
      <w:u w:val="none"/>
    </w:rPr>
  </w:style>
  <w:style w:type="character" w:styleId="11">
    <w:name w:val="HTML Definition"/>
    <w:basedOn w:val="8"/>
    <w:uiPriority w:val="0"/>
    <w:rPr>
      <w:i/>
      <w:iCs/>
    </w:rPr>
  </w:style>
  <w:style w:type="character" w:styleId="12">
    <w:name w:val="Hyperlink"/>
    <w:basedOn w:val="8"/>
    <w:uiPriority w:val="0"/>
    <w:rPr>
      <w:color w:val="337AB7"/>
      <w:u w:val="none"/>
    </w:rPr>
  </w:style>
  <w:style w:type="character" w:styleId="13">
    <w:name w:val="HTML Code"/>
    <w:basedOn w:val="8"/>
    <w:uiPriority w:val="0"/>
    <w:rPr>
      <w:rFonts w:hint="default" w:ascii="Consolas" w:hAnsi="Consolas" w:eastAsia="Consolas" w:cs="Consolas"/>
      <w:color w:val="C7254E"/>
      <w:sz w:val="21"/>
      <w:szCs w:val="21"/>
      <w:bdr w:val="none" w:color="auto" w:sz="0" w:space="0"/>
      <w:shd w:val="clear" w:fill="F9F2F4"/>
    </w:rPr>
  </w:style>
  <w:style w:type="character" w:styleId="14">
    <w:name w:val="HTML Keyboard"/>
    <w:basedOn w:val="8"/>
    <w:uiPriority w:val="0"/>
    <w:rPr>
      <w:rFonts w:ascii="Consolas" w:hAnsi="Consolas" w:eastAsia="Consolas" w:cs="Consolas"/>
      <w:color w:val="FFFFFF"/>
      <w:sz w:val="21"/>
      <w:szCs w:val="21"/>
      <w:bdr w:val="none" w:color="auto" w:sz="0" w:space="0"/>
      <w:shd w:val="clear" w:fill="333333"/>
    </w:rPr>
  </w:style>
  <w:style w:type="character" w:styleId="15">
    <w:name w:val="HTML Sample"/>
    <w:basedOn w:val="8"/>
    <w:uiPriority w:val="0"/>
    <w:rPr>
      <w:rFonts w:hint="default" w:ascii="Consolas" w:hAnsi="Consolas" w:eastAsia="Consolas" w:cs="Consolas"/>
      <w:sz w:val="21"/>
      <w:szCs w:val="21"/>
    </w:rPr>
  </w:style>
  <w:style w:type="character" w:customStyle="1" w:styleId="16">
    <w:name w:val="add"/>
    <w:basedOn w:val="8"/>
    <w:uiPriority w:val="0"/>
  </w:style>
  <w:style w:type="character" w:customStyle="1" w:styleId="17">
    <w:name w:val="sjsk"/>
    <w:basedOn w:val="8"/>
    <w:uiPriority w:val="0"/>
  </w:style>
  <w:style w:type="character" w:customStyle="1" w:styleId="18">
    <w:name w:val="tsxm"/>
    <w:basedOn w:val="8"/>
    <w:uiPriority w:val="0"/>
    <w:rPr>
      <w:bdr w:val="single" w:color="337AB7" w:sz="6" w:space="0"/>
    </w:rPr>
  </w:style>
  <w:style w:type="character" w:customStyle="1" w:styleId="19">
    <w:name w:val="name"/>
    <w:basedOn w:val="8"/>
    <w:uiPriority w:val="0"/>
    <w:rPr>
      <w:color w:val="FFFFFF"/>
      <w:sz w:val="33"/>
      <w:szCs w:val="33"/>
      <w:bdr w:val="none" w:color="auto" w:sz="0" w:space="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2.png"/><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1733</Words>
  <Characters>1761</Characters>
  <Lines>0</Lines>
  <Paragraphs>0</Paragraphs>
  <TotalTime>1</TotalTime>
  <ScaleCrop>false</ScaleCrop>
  <LinksUpToDate>false</LinksUpToDate>
  <CharactersWithSpaces>1777</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2023-11-17T03:26:00Z</dcterms:created>
  <dc:creator>Administrator</dc:creator>
  <cp:lastModifiedBy>Administrator</cp:lastModifiedBy>
  <dcterms:modified xsi:type="dcterms:W3CDTF">2026-02-12T03:43:16Z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96AB2869B0B14C75A7836AE2F16D1597_13</vt:lpwstr>
  </property>
  <property fmtid="{D5CDD505-2E9C-101B-9397-08002B2CF9AE}" pid="4" name="KSOTemplateDocerSaveRecord">
    <vt:lpwstr>eyJoZGlkIjoiNGQ5ODQ5N2Q1NmI0ZDAwYTJiMTcyMmU3ZjhhMWE4NmEifQ==</vt:lpwstr>
  </property>
</Properties>
</file>