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2D69B">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25356CC5">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南昌大学工程建设学院</w:t>
      </w:r>
      <w:r>
        <w:rPr>
          <w:rFonts w:hint="eastAsia" w:cs="宋体" w:asciiTheme="majorEastAsia" w:hAnsiTheme="majorEastAsia" w:eastAsiaTheme="majorEastAsia"/>
          <w:b/>
          <w:bCs/>
          <w:sz w:val="36"/>
          <w:szCs w:val="36"/>
          <w:lang w:val="en-US" w:eastAsia="zh-CN"/>
        </w:rPr>
        <w:t>水利</w:t>
      </w:r>
      <w:r>
        <w:rPr>
          <w:rFonts w:hint="eastAsia" w:cs="宋体" w:asciiTheme="majorEastAsia" w:hAnsiTheme="majorEastAsia" w:eastAsiaTheme="majorEastAsia"/>
          <w:b/>
          <w:bCs/>
          <w:sz w:val="36"/>
          <w:szCs w:val="36"/>
        </w:rPr>
        <w:t>工程</w:t>
      </w:r>
      <w:r>
        <w:rPr>
          <w:rFonts w:hint="eastAsia" w:cs="宋体" w:asciiTheme="majorEastAsia" w:hAnsiTheme="majorEastAsia" w:eastAsiaTheme="majorEastAsia"/>
          <w:b/>
          <w:bCs/>
          <w:sz w:val="36"/>
          <w:szCs w:val="36"/>
          <w:lang w:val="en-US" w:eastAsia="zh-CN"/>
        </w:rPr>
        <w:t>专业</w:t>
      </w:r>
    </w:p>
    <w:p w14:paraId="464D6B1D">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504BCD5E">
      <w:pPr>
        <w:tabs>
          <w:tab w:val="left" w:pos="2820"/>
        </w:tabs>
        <w:spacing w:line="360" w:lineRule="auto"/>
        <w:contextualSpacing/>
        <w:jc w:val="left"/>
        <w:rPr>
          <w:rFonts w:cs="宋体" w:asciiTheme="minorEastAsia" w:hAnsiTheme="minorEastAsia"/>
          <w:sz w:val="24"/>
        </w:rPr>
      </w:pPr>
    </w:p>
    <w:p w14:paraId="39458B34">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06602C95">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6E4936A0">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工程建设学院前身是1958年创立的江西工学院土木建筑工程系，办学始于1940年创建的国立中正大学土木水利学科。2022年院系调整，建筑工程学院更名为工程建设学院。学院拥有力学博士后流动站，力学、水利工程2个博士学位授权一级学科，力学、土木工程、水利工程3个硕士学位授权一级学科，以及土木水利硕士专业学位授权类别。</w:t>
      </w:r>
    </w:p>
    <w:p w14:paraId="7558C492">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水利工程专业为南昌大学一级学科，涉及到自然科学和社会科学许多门类的知识。专业学生主要学习水利水电工程建设所必需的数学、力学和建筑结构等方面的基本理论和基本知识，使学生得到必要的工程设计方法、施工管理方法和科学研究方法的基本训练，具有水利水电工程勘测、规划、设计、施工、科研和管理等方面的基本能力。</w:t>
      </w:r>
    </w:p>
    <w:p w14:paraId="37E4635A">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rPr>
        <w:t>为适应</w:t>
      </w:r>
      <w:r>
        <w:rPr>
          <w:rFonts w:hint="eastAsia" w:ascii="宋体" w:hAnsi="宋体" w:eastAsia="宋体" w:cs="宋体"/>
          <w:i w:val="0"/>
          <w:iCs w:val="0"/>
          <w:caps w:val="0"/>
          <w:color w:val="000000"/>
          <w:spacing w:val="0"/>
          <w:sz w:val="24"/>
          <w:szCs w:val="24"/>
          <w:shd w:val="clear" w:fill="FFFFFF"/>
          <w:lang w:val="en-US" w:eastAsia="zh-CN"/>
        </w:rPr>
        <w:t>全国</w:t>
      </w:r>
      <w:r>
        <w:rPr>
          <w:rFonts w:hint="eastAsia" w:ascii="宋体" w:hAnsi="宋体" w:eastAsia="宋体" w:cs="宋体"/>
          <w:i w:val="0"/>
          <w:iCs w:val="0"/>
          <w:caps w:val="0"/>
          <w:color w:val="000000"/>
          <w:spacing w:val="0"/>
          <w:sz w:val="24"/>
          <w:szCs w:val="24"/>
          <w:shd w:val="clear" w:fill="FFFFFF"/>
        </w:rPr>
        <w:t>经济发展的需要，满足社会对</w:t>
      </w:r>
      <w:r>
        <w:rPr>
          <w:rFonts w:hint="eastAsia" w:ascii="宋体" w:hAnsi="宋体" w:eastAsia="宋体" w:cs="宋体"/>
          <w:i w:val="0"/>
          <w:iCs w:val="0"/>
          <w:caps w:val="0"/>
          <w:color w:val="000000"/>
          <w:spacing w:val="0"/>
          <w:sz w:val="24"/>
          <w:szCs w:val="24"/>
          <w:shd w:val="clear" w:fill="FFFFFF"/>
          <w:lang w:val="en-US" w:eastAsia="zh-CN"/>
        </w:rPr>
        <w:t>工程领域高层</w:t>
      </w:r>
      <w:r>
        <w:rPr>
          <w:rFonts w:hint="eastAsia" w:ascii="宋体" w:hAnsi="宋体" w:eastAsia="宋体" w:cs="宋体"/>
          <w:i w:val="0"/>
          <w:iCs w:val="0"/>
          <w:caps w:val="0"/>
          <w:color w:val="000000"/>
          <w:spacing w:val="0"/>
          <w:sz w:val="24"/>
          <w:szCs w:val="24"/>
          <w:shd w:val="clear" w:fill="FFFFFF"/>
        </w:rPr>
        <w:t>次</w:t>
      </w:r>
      <w:r>
        <w:rPr>
          <w:rFonts w:hint="eastAsia" w:ascii="宋体" w:hAnsi="宋体" w:eastAsia="宋体" w:cs="宋体"/>
          <w:i w:val="0"/>
          <w:iCs w:val="0"/>
          <w:caps w:val="0"/>
          <w:color w:val="000000"/>
          <w:spacing w:val="0"/>
          <w:sz w:val="24"/>
          <w:szCs w:val="24"/>
          <w:shd w:val="clear" w:fill="FFFFFF"/>
          <w:lang w:val="en-US" w:eastAsia="zh-CN"/>
        </w:rPr>
        <w:t>专业</w:t>
      </w:r>
      <w:r>
        <w:rPr>
          <w:rFonts w:hint="eastAsia" w:ascii="宋体" w:hAnsi="宋体" w:eastAsia="宋体" w:cs="宋体"/>
          <w:i w:val="0"/>
          <w:iCs w:val="0"/>
          <w:caps w:val="0"/>
          <w:color w:val="000000"/>
          <w:spacing w:val="0"/>
          <w:sz w:val="24"/>
          <w:szCs w:val="24"/>
          <w:shd w:val="clear" w:fill="FFFFFF"/>
        </w:rPr>
        <w:t>人才的需求，南昌大学</w:t>
      </w:r>
      <w:r>
        <w:rPr>
          <w:rFonts w:hint="eastAsia" w:ascii="宋体" w:hAnsi="宋体" w:eastAsia="宋体" w:cs="宋体"/>
          <w:i w:val="0"/>
          <w:iCs w:val="0"/>
          <w:caps w:val="0"/>
          <w:color w:val="000000"/>
          <w:spacing w:val="0"/>
          <w:sz w:val="24"/>
          <w:szCs w:val="24"/>
          <w:shd w:val="clear" w:fill="FFFFFF"/>
          <w:lang w:val="en-US" w:eastAsia="zh-CN"/>
        </w:rPr>
        <w:t>工程建设学院</w:t>
      </w:r>
      <w:r>
        <w:rPr>
          <w:rFonts w:hint="eastAsia" w:ascii="宋体" w:hAnsi="宋体" w:eastAsia="宋体" w:cs="宋体"/>
          <w:i w:val="0"/>
          <w:iCs w:val="0"/>
          <w:caps w:val="0"/>
          <w:color w:val="000000"/>
          <w:spacing w:val="0"/>
          <w:sz w:val="24"/>
          <w:szCs w:val="24"/>
          <w:shd w:val="clear" w:fill="FFFFFF"/>
        </w:rPr>
        <w:t>研究</w:t>
      </w:r>
      <w:r>
        <w:rPr>
          <w:rFonts w:hint="eastAsia" w:ascii="宋体" w:hAnsi="宋体" w:eastAsia="宋体" w:cs="宋体"/>
          <w:i w:val="0"/>
          <w:iCs w:val="0"/>
          <w:caps w:val="0"/>
          <w:color w:val="000000"/>
          <w:spacing w:val="0"/>
          <w:sz w:val="24"/>
          <w:szCs w:val="24"/>
          <w:shd w:val="clear" w:fill="FFFFFF"/>
          <w:lang w:val="en-US" w:eastAsia="zh-CN"/>
        </w:rPr>
        <w:t>决定面向全国开设水利工程专业</w:t>
      </w:r>
      <w:r>
        <w:rPr>
          <w:rFonts w:hint="eastAsia" w:ascii="宋体" w:hAnsi="宋体" w:eastAsia="宋体" w:cs="宋体"/>
          <w:i w:val="0"/>
          <w:iCs w:val="0"/>
          <w:caps w:val="0"/>
          <w:color w:val="000000"/>
          <w:spacing w:val="0"/>
          <w:sz w:val="24"/>
          <w:szCs w:val="24"/>
          <w:shd w:val="clear" w:fill="FFFFFF"/>
        </w:rPr>
        <w:t>同等学力申请硕士学位课程研修班。</w:t>
      </w:r>
    </w:p>
    <w:p w14:paraId="6494927D">
      <w:pPr>
        <w:spacing w:line="360" w:lineRule="auto"/>
        <w:contextualSpacing/>
        <w:jc w:val="left"/>
        <w:rPr>
          <w:rFonts w:hint="eastAsia" w:cs="宋体" w:asciiTheme="minorEastAsia" w:hAnsiTheme="minorEastAsia"/>
          <w:sz w:val="24"/>
        </w:rPr>
      </w:pPr>
    </w:p>
    <w:p w14:paraId="1A007D64">
      <w:pPr>
        <w:spacing w:line="360" w:lineRule="auto"/>
        <w:contextualSpacing/>
        <w:jc w:val="left"/>
        <w:rPr>
          <w:rFonts w:hint="eastAsia" w:cs="宋体" w:asciiTheme="minorEastAsia" w:hAnsiTheme="minorEastAsia"/>
          <w:sz w:val="24"/>
        </w:rPr>
      </w:pPr>
    </w:p>
    <w:p w14:paraId="640E4310">
      <w:pPr>
        <w:numPr>
          <w:ilvl w:val="0"/>
          <w:numId w:val="1"/>
        </w:numPr>
        <w:spacing w:line="360" w:lineRule="auto"/>
        <w:contextualSpacing/>
        <w:jc w:val="left"/>
        <w:rPr>
          <w:rFonts w:hint="eastAsia" w:ascii="宋体" w:hAnsi="宋体" w:eastAsia="宋体" w:cs="宋体"/>
          <w:i w:val="0"/>
          <w:iCs w:val="0"/>
          <w:caps w:val="0"/>
          <w:color w:val="000000"/>
          <w:spacing w:val="0"/>
          <w:kern w:val="2"/>
          <w:sz w:val="24"/>
          <w:szCs w:val="24"/>
          <w:shd w:val="clear" w:fill="FFFFFF"/>
          <w:lang w:val="en-US" w:eastAsia="zh-CN" w:bidi="ar-SA"/>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454C18F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570" w:lineRule="atLeast"/>
        <w:ind w:left="0" w:right="0" w:firstLine="480" w:firstLineChars="200"/>
        <w:rPr>
          <w:rFonts w:hint="eastAsia" w:ascii="宋体" w:hAnsi="宋体" w:eastAsia="宋体" w:cs="宋体"/>
          <w:i w:val="0"/>
          <w:iCs w:val="0"/>
          <w:caps w:val="0"/>
          <w:color w:val="000000"/>
          <w:spacing w:val="0"/>
          <w:kern w:val="2"/>
          <w:sz w:val="24"/>
          <w:szCs w:val="24"/>
          <w:shd w:val="clear" w:fill="FFFFFF"/>
          <w:lang w:val="en-US" w:eastAsia="zh-CN" w:bidi="ar-SA"/>
        </w:rPr>
      </w:pPr>
      <w:r>
        <w:rPr>
          <w:rFonts w:hint="eastAsia" w:ascii="宋体" w:hAnsi="宋体" w:eastAsia="宋体" w:cs="宋体"/>
          <w:i w:val="0"/>
          <w:iCs w:val="0"/>
          <w:caps w:val="0"/>
          <w:color w:val="000000"/>
          <w:spacing w:val="0"/>
          <w:kern w:val="2"/>
          <w:sz w:val="24"/>
          <w:szCs w:val="24"/>
          <w:shd w:val="clear" w:fill="FFFFFF"/>
          <w:lang w:val="en-US" w:eastAsia="zh-CN" w:bidi="ar-SA"/>
        </w:rPr>
        <w:t>本专业培养具有学科必需基本理论和基本知识，掌握工程设计方法、施工管理方法和科学研究方法，具备水利工程的勘测、规划、设计、施工、科研和管理等方面知识和技能的高级工程技术人才，学员可从事水利水电单位从事质量管理、安全管理、造价计算、技术资料管理和水利水电工程运行管理等工作。</w:t>
      </w:r>
    </w:p>
    <w:p w14:paraId="02B7B7A9">
      <w:pPr>
        <w:keepNext w:val="0"/>
        <w:keepLines w:val="0"/>
        <w:pageBreakBefore w:val="0"/>
        <w:widowControl w:val="0"/>
        <w:numPr>
          <w:ilvl w:val="0"/>
          <w:numId w:val="0"/>
        </w:numPr>
        <w:kinsoku/>
        <w:wordWrap/>
        <w:overflowPunct/>
        <w:topLinePunct w:val="0"/>
        <w:autoSpaceDE/>
        <w:autoSpaceDN/>
        <w:bidi w:val="0"/>
        <w:adjustRightInd/>
        <w:snapToGrid/>
        <w:spacing w:line="30" w:lineRule="atLeast"/>
        <w:ind w:firstLine="482" w:firstLineChars="200"/>
        <w:contextualSpacing/>
        <w:jc w:val="left"/>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4CC8119B">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3214BCCE">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一流</w:t>
      </w:r>
      <w:r>
        <w:rPr>
          <w:rFonts w:hint="eastAsia" w:cs="宋体" w:asciiTheme="minorEastAsia" w:hAnsiTheme="minorEastAsia"/>
          <w:sz w:val="24"/>
        </w:rPr>
        <w:t>学科】</w:t>
      </w:r>
      <w:r>
        <w:rPr>
          <w:rFonts w:hint="eastAsia" w:cs="宋体" w:asciiTheme="minorEastAsia" w:hAnsiTheme="minorEastAsia"/>
          <w:sz w:val="24"/>
          <w:lang w:val="en-US" w:eastAsia="zh-CN"/>
        </w:rPr>
        <w:t>学院拥有众多硕士学位一级学科，均已通过专业认证；</w:t>
      </w:r>
    </w:p>
    <w:p w14:paraId="46447BCF">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先学习课程再参加全国统考</w:t>
      </w:r>
      <w:r>
        <w:rPr>
          <w:rFonts w:cs="宋体" w:asciiTheme="minorEastAsia" w:hAnsiTheme="minorEastAsia"/>
          <w:sz w:val="24"/>
        </w:rPr>
        <w:t>；</w:t>
      </w:r>
    </w:p>
    <w:p w14:paraId="2E84E6B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【申硕仅考</w:t>
      </w:r>
      <w:r>
        <w:rPr>
          <w:rFonts w:hint="eastAsia" w:cs="宋体" w:asciiTheme="minorEastAsia" w:hAnsiTheme="minorEastAsia"/>
          <w:sz w:val="24"/>
          <w:lang w:val="en-US" w:eastAsia="zh-CN"/>
        </w:rPr>
        <w:t>1</w:t>
      </w:r>
      <w:r>
        <w:rPr>
          <w:rFonts w:hint="eastAsia" w:cs="宋体" w:asciiTheme="minorEastAsia" w:hAnsiTheme="minorEastAsia"/>
          <w:sz w:val="24"/>
        </w:rPr>
        <w:t>科】满足条件的学员可申请申硕考试，仅考外语</w:t>
      </w:r>
      <w:r>
        <w:rPr>
          <w:rFonts w:hint="eastAsia" w:cs="宋体" w:asciiTheme="minorEastAsia" w:hAnsiTheme="minorEastAsia"/>
          <w:sz w:val="24"/>
          <w:lang w:val="en-US" w:eastAsia="zh-CN"/>
        </w:rPr>
        <w:t>1</w:t>
      </w:r>
      <w:r>
        <w:rPr>
          <w:rFonts w:hint="eastAsia" w:cs="宋体" w:asciiTheme="minorEastAsia" w:hAnsiTheme="minorEastAsia"/>
          <w:sz w:val="24"/>
        </w:rPr>
        <w:t>科，百分制60分合格，难度较低；</w:t>
      </w:r>
    </w:p>
    <w:p w14:paraId="630EF59C">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次申硕考试机会，仅考</w:t>
      </w:r>
      <w:r>
        <w:rPr>
          <w:rFonts w:hint="eastAsia" w:cs="宋体" w:asciiTheme="minorEastAsia" w:hAnsiTheme="minorEastAsia"/>
          <w:sz w:val="24"/>
          <w:lang w:val="en-US" w:eastAsia="zh-CN"/>
        </w:rPr>
        <w:t>1</w:t>
      </w:r>
      <w:r>
        <w:rPr>
          <w:rFonts w:hint="eastAsia" w:cs="宋体" w:asciiTheme="minorEastAsia" w:hAnsiTheme="minorEastAsia"/>
          <w:sz w:val="24"/>
        </w:rPr>
        <w:t>科，大大提升申硕通过率；</w:t>
      </w:r>
    </w:p>
    <w:p w14:paraId="49B31F8B">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4F615FC7">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26593F3F">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40A15FD7">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pPr w:leftFromText="180" w:rightFromText="180" w:vertAnchor="text" w:horzAnchor="page" w:tblpX="2437" w:tblpY="1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3650"/>
        <w:gridCol w:w="3311"/>
      </w:tblGrid>
      <w:tr w14:paraId="4DD1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vAlign w:val="center"/>
          </w:tcPr>
          <w:p w14:paraId="565B45E9">
            <w:pPr>
              <w:spacing w:line="360" w:lineRule="auto"/>
              <w:ind w:left="0" w:leftChars="0"/>
              <w:contextualSpacing/>
              <w:jc w:val="center"/>
              <w:rPr>
                <w:rFonts w:cs="宋体" w:asciiTheme="minorEastAsia" w:hAnsiTheme="minorEastAsia"/>
                <w:b/>
                <w:sz w:val="24"/>
              </w:rPr>
            </w:pPr>
            <w:r>
              <w:rPr>
                <w:rFonts w:hint="eastAsia" w:cs="宋体" w:asciiTheme="minorEastAsia" w:hAnsiTheme="minorEastAsia"/>
                <w:b/>
                <w:sz w:val="24"/>
                <w:lang w:val="en-US" w:eastAsia="zh-CN"/>
              </w:rPr>
              <w:t>水利工程</w:t>
            </w:r>
            <w:r>
              <w:rPr>
                <w:rFonts w:hint="eastAsia" w:cs="宋体" w:asciiTheme="minorEastAsia" w:hAnsiTheme="minorEastAsia"/>
                <w:b/>
                <w:sz w:val="24"/>
              </w:rPr>
              <w:t>专业课程设置</w:t>
            </w:r>
          </w:p>
        </w:tc>
      </w:tr>
      <w:tr w14:paraId="5C0C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7571D858">
            <w:pPr>
              <w:spacing w:line="360" w:lineRule="auto"/>
              <w:ind w:left="0" w:leftChars="0"/>
              <w:contextualSpacing/>
              <w:jc w:val="center"/>
              <w:rPr>
                <w:rFonts w:cs="宋体" w:asciiTheme="minorEastAsia" w:hAnsiTheme="minorEastAsia"/>
                <w:sz w:val="24"/>
              </w:rPr>
            </w:pPr>
            <w:r>
              <w:rPr>
                <w:rFonts w:hint="eastAsia" w:cs="宋体" w:asciiTheme="minorEastAsia" w:hAnsiTheme="minorEastAsia"/>
                <w:sz w:val="24"/>
              </w:rPr>
              <w:t>公共课</w:t>
            </w:r>
          </w:p>
        </w:tc>
        <w:tc>
          <w:tcPr>
            <w:tcW w:w="3650" w:type="dxa"/>
            <w:vAlign w:val="center"/>
          </w:tcPr>
          <w:p w14:paraId="4C924375">
            <w:pPr>
              <w:spacing w:line="360" w:lineRule="auto"/>
              <w:ind w:left="0" w:leftChars="0"/>
              <w:contextualSpacing/>
              <w:jc w:val="center"/>
              <w:rPr>
                <w:rFonts w:hint="default" w:cs="宋体" w:asciiTheme="minorEastAsia" w:hAnsiTheme="minorEastAsia" w:eastAsiaTheme="minorEastAsia"/>
                <w:sz w:val="24"/>
                <w:lang w:val="en-US" w:eastAsia="zh-CN"/>
              </w:rPr>
            </w:pPr>
            <w:r>
              <w:rPr>
                <w:rFonts w:hint="eastAsia" w:ascii="宋体" w:hAnsi="宋体" w:cs="宋体"/>
                <w:szCs w:val="21"/>
              </w:rPr>
              <w:t>中国特色社会主义理论与实践研究</w:t>
            </w:r>
          </w:p>
        </w:tc>
        <w:tc>
          <w:tcPr>
            <w:tcW w:w="3311" w:type="dxa"/>
            <w:vAlign w:val="center"/>
          </w:tcPr>
          <w:p w14:paraId="63B5ADF6">
            <w:pPr>
              <w:spacing w:line="360" w:lineRule="auto"/>
              <w:ind w:left="0" w:leftChars="0"/>
              <w:contextualSpacing/>
              <w:jc w:val="center"/>
              <w:rPr>
                <w:rFonts w:hint="eastAsia" w:cs="宋体" w:asciiTheme="minorEastAsia" w:hAnsiTheme="minorEastAsia"/>
                <w:sz w:val="21"/>
                <w:szCs w:val="21"/>
                <w:lang w:val="en-US" w:eastAsia="zh-CN"/>
              </w:rPr>
            </w:pPr>
            <w:r>
              <w:rPr>
                <w:rFonts w:hint="eastAsia" w:cs="宋体" w:asciiTheme="minorEastAsia" w:hAnsiTheme="minorEastAsia"/>
                <w:sz w:val="21"/>
                <w:szCs w:val="21"/>
                <w:lang w:val="en-US" w:eastAsia="zh-CN"/>
              </w:rPr>
              <w:t>自然辩证法</w:t>
            </w:r>
          </w:p>
        </w:tc>
      </w:tr>
      <w:tr w14:paraId="586E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0710FB67">
            <w:pPr>
              <w:spacing w:line="360" w:lineRule="auto"/>
              <w:ind w:left="0" w:leftChars="0"/>
              <w:contextualSpacing/>
              <w:jc w:val="center"/>
              <w:rPr>
                <w:rFonts w:cs="宋体" w:asciiTheme="minorEastAsia" w:hAnsiTheme="minorEastAsia"/>
                <w:sz w:val="24"/>
              </w:rPr>
            </w:pPr>
          </w:p>
        </w:tc>
        <w:tc>
          <w:tcPr>
            <w:tcW w:w="3650" w:type="dxa"/>
            <w:vAlign w:val="center"/>
          </w:tcPr>
          <w:p w14:paraId="62E7F3C5">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eastAsia" w:cs="宋体" w:asciiTheme="minorEastAsia" w:hAnsiTheme="minorEastAsia"/>
                <w:sz w:val="21"/>
                <w:szCs w:val="21"/>
                <w:lang w:val="en-US" w:eastAsia="zh-CN"/>
              </w:rPr>
              <w:t>英语</w:t>
            </w:r>
          </w:p>
        </w:tc>
        <w:tc>
          <w:tcPr>
            <w:tcW w:w="3311" w:type="dxa"/>
            <w:vAlign w:val="center"/>
          </w:tcPr>
          <w:p w14:paraId="430C7E9E">
            <w:pPr>
              <w:spacing w:line="360" w:lineRule="auto"/>
              <w:ind w:left="0" w:leftChars="0"/>
              <w:contextualSpacing/>
              <w:jc w:val="center"/>
              <w:rPr>
                <w:rFonts w:hint="default" w:cs="宋体" w:asciiTheme="minorEastAsia" w:hAnsiTheme="minorEastAsia"/>
                <w:sz w:val="21"/>
                <w:szCs w:val="21"/>
                <w:lang w:val="en-US" w:eastAsia="zh-CN"/>
              </w:rPr>
            </w:pPr>
            <w:r>
              <w:rPr>
                <w:rFonts w:hint="eastAsia" w:cs="宋体" w:asciiTheme="minorEastAsia" w:hAnsiTheme="minorEastAsia"/>
                <w:sz w:val="21"/>
                <w:szCs w:val="21"/>
                <w:lang w:val="en-US" w:eastAsia="zh-CN"/>
              </w:rPr>
              <w:t>数值分析</w:t>
            </w:r>
          </w:p>
        </w:tc>
      </w:tr>
      <w:tr w14:paraId="72BA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52A3A890">
            <w:pPr>
              <w:spacing w:line="360" w:lineRule="auto"/>
              <w:ind w:left="0" w:leftChars="0" w:firstLine="240" w:firstLineChars="100"/>
              <w:contextualSpacing/>
              <w:jc w:val="center"/>
              <w:rPr>
                <w:rFonts w:hint="default" w:cs="宋体" w:asciiTheme="minorEastAsia" w:hAnsiTheme="minorEastAsia" w:eastAsiaTheme="minorEastAsia"/>
                <w:sz w:val="24"/>
                <w:lang w:val="en-US" w:eastAsia="zh-CN"/>
              </w:rPr>
            </w:pPr>
            <w:r>
              <w:rPr>
                <w:rFonts w:hint="eastAsia" w:cs="宋体" w:asciiTheme="minorEastAsia" w:hAnsiTheme="minorEastAsia"/>
                <w:sz w:val="24"/>
                <w:lang w:val="en-US" w:eastAsia="zh-CN"/>
              </w:rPr>
              <w:t>专业课</w:t>
            </w:r>
          </w:p>
        </w:tc>
        <w:tc>
          <w:tcPr>
            <w:tcW w:w="3650" w:type="dxa"/>
            <w:vAlign w:val="center"/>
          </w:tcPr>
          <w:p w14:paraId="59A5FD10">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default" w:cs="宋体" w:asciiTheme="minorEastAsia" w:hAnsiTheme="minorEastAsia" w:eastAsiaTheme="minorEastAsia"/>
                <w:sz w:val="21"/>
                <w:szCs w:val="21"/>
                <w:lang w:val="en-US" w:eastAsia="zh-CN"/>
              </w:rPr>
              <w:t>水资源规划与管理</w:t>
            </w:r>
          </w:p>
        </w:tc>
        <w:tc>
          <w:tcPr>
            <w:tcW w:w="3311" w:type="dxa"/>
            <w:vAlign w:val="center"/>
          </w:tcPr>
          <w:p w14:paraId="7B475BC1">
            <w:pPr>
              <w:spacing w:line="360" w:lineRule="auto"/>
              <w:ind w:left="0" w:leftChars="0"/>
              <w:contextualSpacing/>
              <w:jc w:val="center"/>
              <w:rPr>
                <w:rFonts w:hint="eastAsia" w:cs="宋体" w:asciiTheme="minorEastAsia" w:hAnsiTheme="minorEastAsia" w:eastAsiaTheme="minorEastAsia"/>
                <w:sz w:val="21"/>
                <w:szCs w:val="21"/>
                <w:lang w:val="en-US" w:eastAsia="zh-CN"/>
              </w:rPr>
            </w:pPr>
            <w:r>
              <w:rPr>
                <w:rFonts w:hint="eastAsia" w:cs="宋体" w:asciiTheme="minorEastAsia" w:hAnsiTheme="minorEastAsia" w:eastAsiaTheme="minorEastAsia"/>
                <w:sz w:val="21"/>
                <w:szCs w:val="21"/>
                <w:lang w:val="en-US" w:eastAsia="zh-CN"/>
              </w:rPr>
              <w:t>结构力学</w:t>
            </w:r>
          </w:p>
        </w:tc>
      </w:tr>
      <w:tr w14:paraId="1233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689A6D91">
            <w:pPr>
              <w:spacing w:line="360" w:lineRule="auto"/>
              <w:ind w:left="0" w:leftChars="0"/>
              <w:contextualSpacing/>
              <w:jc w:val="center"/>
              <w:rPr>
                <w:rFonts w:cs="宋体" w:asciiTheme="minorEastAsia" w:hAnsiTheme="minorEastAsia"/>
                <w:sz w:val="24"/>
              </w:rPr>
            </w:pPr>
          </w:p>
        </w:tc>
        <w:tc>
          <w:tcPr>
            <w:tcW w:w="3650" w:type="dxa"/>
            <w:vAlign w:val="center"/>
          </w:tcPr>
          <w:p w14:paraId="6645D959">
            <w:pPr>
              <w:spacing w:line="360" w:lineRule="auto"/>
              <w:ind w:left="0" w:leftChars="0"/>
              <w:contextualSpacing/>
              <w:jc w:val="center"/>
              <w:rPr>
                <w:rFonts w:cs="宋体" w:asciiTheme="minorEastAsia" w:hAnsiTheme="minorEastAsia"/>
                <w:sz w:val="21"/>
                <w:szCs w:val="21"/>
              </w:rPr>
            </w:pPr>
            <w:r>
              <w:rPr>
                <w:rFonts w:cs="宋体" w:asciiTheme="minorEastAsia" w:hAnsiTheme="minorEastAsia"/>
                <w:sz w:val="21"/>
                <w:szCs w:val="21"/>
              </w:rPr>
              <w:t>水力学</w:t>
            </w:r>
          </w:p>
        </w:tc>
        <w:tc>
          <w:tcPr>
            <w:tcW w:w="3311" w:type="dxa"/>
            <w:vAlign w:val="center"/>
          </w:tcPr>
          <w:p w14:paraId="0B5A5D6B">
            <w:pPr>
              <w:spacing w:line="360" w:lineRule="auto"/>
              <w:ind w:left="0" w:leftChars="0"/>
              <w:jc w:val="center"/>
              <w:rPr>
                <w:rFonts w:hint="default" w:cs="宋体" w:asciiTheme="minorEastAsia" w:hAnsiTheme="minorEastAsia"/>
                <w:sz w:val="21"/>
                <w:szCs w:val="21"/>
                <w:lang w:val="en-US" w:eastAsia="zh-CN"/>
              </w:rPr>
            </w:pPr>
            <w:r>
              <w:rPr>
                <w:rFonts w:hint="default" w:cs="宋体" w:asciiTheme="minorEastAsia" w:hAnsiTheme="minorEastAsia"/>
                <w:sz w:val="21"/>
                <w:szCs w:val="21"/>
                <w:lang w:val="en-US" w:eastAsia="zh-CN"/>
              </w:rPr>
              <w:t>水利水能规划</w:t>
            </w:r>
          </w:p>
        </w:tc>
      </w:tr>
      <w:tr w14:paraId="15AF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restart"/>
            <w:vAlign w:val="center"/>
          </w:tcPr>
          <w:p w14:paraId="28B6DEE0">
            <w:pPr>
              <w:spacing w:line="360" w:lineRule="auto"/>
              <w:ind w:left="0" w:leftChars="0"/>
              <w:contextualSpacing/>
              <w:jc w:val="center"/>
              <w:rPr>
                <w:rFonts w:hint="eastAsia" w:cs="宋体" w:asciiTheme="minorEastAsia" w:hAnsiTheme="minorEastAsia" w:eastAsiaTheme="minorEastAsia"/>
                <w:sz w:val="24"/>
                <w:lang w:val="en-US" w:eastAsia="zh-CN"/>
              </w:rPr>
            </w:pPr>
            <w:r>
              <w:rPr>
                <w:rFonts w:hint="eastAsia" w:cs="宋体" w:asciiTheme="minorEastAsia" w:hAnsiTheme="minorEastAsia"/>
                <w:sz w:val="24"/>
                <w:lang w:val="en-US" w:eastAsia="zh-CN"/>
              </w:rPr>
              <w:t>选修课</w:t>
            </w:r>
          </w:p>
        </w:tc>
        <w:tc>
          <w:tcPr>
            <w:tcW w:w="3650" w:type="dxa"/>
            <w:vAlign w:val="center"/>
          </w:tcPr>
          <w:p w14:paraId="21D9B165">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default" w:cs="宋体" w:asciiTheme="minorEastAsia" w:hAnsiTheme="minorEastAsia" w:eastAsiaTheme="minorEastAsia"/>
                <w:sz w:val="21"/>
                <w:szCs w:val="21"/>
                <w:lang w:val="en-US" w:eastAsia="zh-CN"/>
              </w:rPr>
              <w:t>弹性力学及有限元基础</w:t>
            </w:r>
          </w:p>
        </w:tc>
        <w:tc>
          <w:tcPr>
            <w:tcW w:w="3311" w:type="dxa"/>
            <w:vAlign w:val="center"/>
          </w:tcPr>
          <w:p w14:paraId="3D852248">
            <w:pPr>
              <w:spacing w:line="360" w:lineRule="auto"/>
              <w:ind w:left="0" w:leftChars="0"/>
              <w:contextualSpacing/>
              <w:jc w:val="center"/>
              <w:rPr>
                <w:rFonts w:hint="default" w:cs="宋体" w:asciiTheme="minorEastAsia" w:hAnsiTheme="minorEastAsia"/>
                <w:sz w:val="21"/>
                <w:szCs w:val="21"/>
                <w:lang w:val="en-US" w:eastAsia="zh-CN"/>
              </w:rPr>
            </w:pPr>
            <w:r>
              <w:rPr>
                <w:rFonts w:hint="eastAsia" w:ascii="宋体" w:hAnsi="宋体" w:cs="宋体"/>
                <w:szCs w:val="21"/>
              </w:rPr>
              <w:t>水利水电工程学科的前沿问题</w:t>
            </w:r>
          </w:p>
        </w:tc>
      </w:tr>
      <w:tr w14:paraId="2C01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0E938321">
            <w:pPr>
              <w:spacing w:line="360" w:lineRule="auto"/>
              <w:ind w:left="0" w:leftChars="0"/>
              <w:contextualSpacing/>
              <w:jc w:val="center"/>
              <w:rPr>
                <w:rFonts w:cs="宋体" w:asciiTheme="minorEastAsia" w:hAnsiTheme="minorEastAsia"/>
                <w:sz w:val="24"/>
              </w:rPr>
            </w:pPr>
          </w:p>
        </w:tc>
        <w:tc>
          <w:tcPr>
            <w:tcW w:w="3650" w:type="dxa"/>
            <w:vAlign w:val="center"/>
          </w:tcPr>
          <w:p w14:paraId="4E9E1AEB">
            <w:pPr>
              <w:spacing w:line="360" w:lineRule="auto"/>
              <w:ind w:left="0" w:leftChars="0"/>
              <w:contextualSpacing/>
              <w:jc w:val="center"/>
              <w:rPr>
                <w:rFonts w:hint="default" w:cs="宋体" w:asciiTheme="minorEastAsia" w:hAnsiTheme="minorEastAsia" w:eastAsiaTheme="minorEastAsia"/>
                <w:sz w:val="21"/>
                <w:szCs w:val="21"/>
                <w:lang w:val="en-US" w:eastAsia="zh-CN"/>
              </w:rPr>
            </w:pPr>
            <w:r>
              <w:rPr>
                <w:rFonts w:hint="default" w:cs="宋体" w:asciiTheme="minorEastAsia" w:hAnsiTheme="minorEastAsia" w:eastAsiaTheme="minorEastAsia"/>
                <w:sz w:val="21"/>
                <w:szCs w:val="21"/>
                <w:lang w:val="en-US" w:eastAsia="zh-CN"/>
              </w:rPr>
              <w:t>混凝土结构设计原理</w:t>
            </w:r>
          </w:p>
        </w:tc>
        <w:tc>
          <w:tcPr>
            <w:tcW w:w="3311" w:type="dxa"/>
            <w:vAlign w:val="center"/>
          </w:tcPr>
          <w:p w14:paraId="33DBAFEE">
            <w:pPr>
              <w:spacing w:line="360" w:lineRule="auto"/>
              <w:ind w:left="0" w:leftChars="0"/>
              <w:contextualSpacing/>
              <w:jc w:val="center"/>
              <w:rPr>
                <w:rFonts w:hint="default" w:cs="宋体" w:asciiTheme="minorEastAsia" w:hAnsiTheme="minorEastAsia"/>
                <w:sz w:val="21"/>
                <w:szCs w:val="21"/>
                <w:lang w:val="en-US" w:eastAsia="zh-CN"/>
              </w:rPr>
            </w:pPr>
            <w:r>
              <w:rPr>
                <w:rFonts w:hint="eastAsia" w:ascii="宋体" w:hAnsi="宋体" w:cs="宋体"/>
                <w:szCs w:val="21"/>
              </w:rPr>
              <w:t>高等土力学</w:t>
            </w:r>
          </w:p>
        </w:tc>
      </w:tr>
      <w:tr w14:paraId="6AE3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7D760EE0">
            <w:pPr>
              <w:spacing w:line="360" w:lineRule="auto"/>
              <w:ind w:left="0" w:leftChars="0"/>
              <w:contextualSpacing/>
              <w:jc w:val="center"/>
              <w:rPr>
                <w:rFonts w:cs="宋体" w:asciiTheme="minorEastAsia" w:hAnsiTheme="minorEastAsia"/>
                <w:sz w:val="24"/>
              </w:rPr>
            </w:pPr>
          </w:p>
        </w:tc>
        <w:tc>
          <w:tcPr>
            <w:tcW w:w="3650" w:type="dxa"/>
            <w:vAlign w:val="center"/>
          </w:tcPr>
          <w:p w14:paraId="54237FA4">
            <w:pPr>
              <w:spacing w:line="360" w:lineRule="auto"/>
              <w:ind w:left="0" w:leftChars="0"/>
              <w:contextualSpacing/>
              <w:jc w:val="center"/>
              <w:rPr>
                <w:rFonts w:hint="eastAsia" w:cs="宋体" w:asciiTheme="minorEastAsia" w:hAnsiTheme="minorEastAsia"/>
                <w:sz w:val="21"/>
                <w:szCs w:val="21"/>
                <w:lang w:val="en-US" w:eastAsia="zh-CN"/>
              </w:rPr>
            </w:pPr>
            <w:r>
              <w:rPr>
                <w:rFonts w:hint="eastAsia" w:ascii="宋体" w:hAnsi="宋体" w:cs="宋体"/>
                <w:szCs w:val="21"/>
              </w:rPr>
              <w:t>岩土工程学科的前沿专题</w:t>
            </w:r>
          </w:p>
        </w:tc>
        <w:tc>
          <w:tcPr>
            <w:tcW w:w="3311" w:type="dxa"/>
            <w:vAlign w:val="center"/>
          </w:tcPr>
          <w:p w14:paraId="564BDF95">
            <w:pPr>
              <w:spacing w:line="360" w:lineRule="auto"/>
              <w:ind w:left="0" w:leftChars="0"/>
              <w:contextualSpacing/>
              <w:jc w:val="center"/>
              <w:rPr>
                <w:rFonts w:hint="eastAsia" w:cs="宋体" w:asciiTheme="minorEastAsia" w:hAnsiTheme="minorEastAsia"/>
                <w:sz w:val="21"/>
                <w:szCs w:val="21"/>
                <w:lang w:val="en-US" w:eastAsia="zh-CN"/>
              </w:rPr>
            </w:pPr>
            <w:r>
              <w:rPr>
                <w:rFonts w:hint="eastAsia" w:ascii="宋体" w:hAnsi="宋体" w:cs="宋体"/>
                <w:szCs w:val="21"/>
              </w:rPr>
              <w:t>结构可靠度理论及应用</w:t>
            </w:r>
          </w:p>
        </w:tc>
      </w:tr>
      <w:tr w14:paraId="05BC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1" w:type="dxa"/>
            <w:vMerge w:val="continue"/>
            <w:vAlign w:val="center"/>
          </w:tcPr>
          <w:p w14:paraId="0462251A">
            <w:pPr>
              <w:spacing w:line="360" w:lineRule="auto"/>
              <w:ind w:left="0" w:leftChars="0"/>
              <w:contextualSpacing/>
              <w:jc w:val="center"/>
              <w:rPr>
                <w:rFonts w:cs="宋体" w:asciiTheme="minorEastAsia" w:hAnsiTheme="minorEastAsia"/>
                <w:sz w:val="24"/>
              </w:rPr>
            </w:pPr>
          </w:p>
        </w:tc>
        <w:tc>
          <w:tcPr>
            <w:tcW w:w="3650" w:type="dxa"/>
            <w:vAlign w:val="center"/>
          </w:tcPr>
          <w:p w14:paraId="3264D79F">
            <w:pPr>
              <w:spacing w:line="360" w:lineRule="auto"/>
              <w:ind w:left="0" w:leftChars="0"/>
              <w:contextualSpacing/>
              <w:jc w:val="center"/>
              <w:rPr>
                <w:rFonts w:hint="eastAsia" w:cs="宋体" w:asciiTheme="minorEastAsia" w:hAnsiTheme="minorEastAsia"/>
                <w:sz w:val="21"/>
                <w:szCs w:val="21"/>
                <w:lang w:val="en-US" w:eastAsia="zh-CN"/>
              </w:rPr>
            </w:pPr>
            <w:r>
              <w:rPr>
                <w:rFonts w:hint="eastAsia" w:ascii="宋体" w:hAnsi="宋体" w:cs="宋体"/>
                <w:szCs w:val="21"/>
              </w:rPr>
              <w:t>高等工程经济及管理学</w:t>
            </w:r>
          </w:p>
        </w:tc>
        <w:tc>
          <w:tcPr>
            <w:tcW w:w="3311" w:type="dxa"/>
            <w:vAlign w:val="center"/>
          </w:tcPr>
          <w:p w14:paraId="69008224">
            <w:pPr>
              <w:spacing w:line="360" w:lineRule="auto"/>
              <w:ind w:left="0" w:leftChars="0"/>
              <w:contextualSpacing/>
              <w:jc w:val="center"/>
              <w:rPr>
                <w:rFonts w:hint="default" w:cs="宋体" w:asciiTheme="minorEastAsia" w:hAnsiTheme="minorEastAsia"/>
                <w:sz w:val="21"/>
                <w:szCs w:val="21"/>
                <w:lang w:val="en-US" w:eastAsia="zh-CN"/>
              </w:rPr>
            </w:pPr>
            <w:r>
              <w:rPr>
                <w:rFonts w:hint="eastAsia" w:ascii="宋体" w:hAnsi="宋体" w:cs="宋体"/>
                <w:szCs w:val="21"/>
              </w:rPr>
              <w:t>有限单元法及程序设计</w:t>
            </w:r>
          </w:p>
        </w:tc>
      </w:tr>
    </w:tbl>
    <w:p w14:paraId="1E865271">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 xml:space="preserve">      （注：具体以学校课程安排实际为准）</w:t>
      </w:r>
    </w:p>
    <w:p w14:paraId="080C0656">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6556CBC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28C4621A">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2E41B014">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1E4D7C4D">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w:t>
      </w:r>
      <w:r>
        <w:rPr>
          <w:rFonts w:hint="eastAsia" w:ascii="宋体" w:hAnsi="宋体" w:eastAsia="宋体" w:cs="宋体"/>
          <w:b w:val="0"/>
          <w:bCs w:val="0"/>
          <w:color w:val="000000" w:themeColor="text1"/>
          <w:sz w:val="24"/>
          <w:szCs w:val="24"/>
          <w14:textFill>
            <w14:solidFill>
              <w14:schemeClr w14:val="tx1"/>
            </w14:solidFill>
          </w14:textFill>
        </w:rPr>
        <w:t>仅接收相邻专业理工科学生</w:t>
      </w:r>
      <w:r>
        <w:rPr>
          <w:rFonts w:hint="eastAsia" w:cs="宋体" w:asciiTheme="minorEastAsia" w:hAnsiTheme="minorEastAsia"/>
          <w:sz w:val="24"/>
          <w:lang w:val="en-US" w:eastAsia="zh-CN"/>
        </w:rPr>
        <w:t>在申请学位的专业或相近专业做出成绩，学术水平或专业技术水平已达到所申请学位专业的毕业研究生同等水平。</w:t>
      </w:r>
    </w:p>
    <w:p w14:paraId="4281248B">
      <w:pPr>
        <w:spacing w:line="360" w:lineRule="auto"/>
        <w:ind w:firstLine="482" w:firstLineChars="200"/>
        <w:contextualSpacing/>
        <w:jc w:val="left"/>
        <w:rPr>
          <w:rFonts w:hint="eastAsia" w:cs="宋体" w:asciiTheme="minorEastAsia" w:hAnsiTheme="minorEastAsia"/>
          <w:b/>
          <w:bCs/>
          <w:color w:val="FF0000"/>
          <w:sz w:val="24"/>
          <w:lang w:val="en-US" w:eastAsia="zh-CN"/>
        </w:rPr>
      </w:pPr>
      <w:bookmarkStart w:id="0" w:name="_GoBack"/>
      <w:bookmarkEnd w:id="0"/>
    </w:p>
    <w:p w14:paraId="5F2A9F31">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51106A14">
      <w:pPr>
        <w:spacing w:line="360" w:lineRule="auto"/>
        <w:contextualSpacing/>
        <w:jc w:val="left"/>
        <w:rPr>
          <w:rFonts w:hint="eastAsia" w:cs="宋体" w:asciiTheme="minorEastAsia" w:hAnsiTheme="minorEastAsia"/>
          <w:color w:val="000000" w:themeColor="text1"/>
          <w:sz w:val="24"/>
          <w:lang w:eastAsia="zh-CN"/>
          <w14:textFill>
            <w14:solidFill>
              <w14:schemeClr w14:val="tx1"/>
            </w14:solidFill>
          </w14:textFill>
        </w:rPr>
      </w:pPr>
      <w:r>
        <w:rPr>
          <w:rFonts w:hint="eastAsia" w:cs="宋体" w:asciiTheme="minorEastAsia" w:hAnsiTheme="minorEastAsia"/>
          <w:color w:val="000000" w:themeColor="text1"/>
          <w:sz w:val="24"/>
          <w:lang w:val="en-US" w:eastAsia="zh-CN"/>
          <w14:textFill>
            <w14:solidFill>
              <w14:schemeClr w14:val="tx1"/>
            </w14:solidFill>
          </w14:textFill>
        </w:rPr>
        <w:t>1、</w:t>
      </w:r>
      <w:r>
        <w:rPr>
          <w:rFonts w:hint="eastAsia" w:cs="宋体" w:asciiTheme="minorEastAsia" w:hAnsiTheme="minorEastAsia"/>
          <w:color w:val="000000" w:themeColor="text1"/>
          <w:sz w:val="24"/>
          <w14:textFill>
            <w14:solidFill>
              <w14:schemeClr w14:val="tx1"/>
            </w14:solidFill>
          </w14:textFill>
        </w:rPr>
        <w:t>课程学费</w:t>
      </w:r>
      <w:r>
        <w:rPr>
          <w:rFonts w:hint="eastAsia" w:cs="宋体" w:asciiTheme="minorEastAsia" w:hAnsiTheme="minorEastAsia"/>
          <w:color w:val="000000" w:themeColor="text1"/>
          <w:sz w:val="24"/>
          <w:lang w:eastAsia="zh-CN"/>
          <w14:textFill>
            <w14:solidFill>
              <w14:schemeClr w14:val="tx1"/>
            </w14:solidFill>
          </w14:textFill>
        </w:rPr>
        <w:t>：</w:t>
      </w:r>
      <w:r>
        <w:rPr>
          <w:rFonts w:hint="eastAsia" w:cs="宋体" w:asciiTheme="minorEastAsia" w:hAnsiTheme="minorEastAsia"/>
          <w:color w:val="000000" w:themeColor="text1"/>
          <w:sz w:val="24"/>
          <w14:textFill>
            <w14:solidFill>
              <w14:schemeClr w14:val="tx1"/>
            </w14:solidFill>
          </w14:textFill>
        </w:rPr>
        <w:t>1</w:t>
      </w:r>
      <w:r>
        <w:rPr>
          <w:rFonts w:hint="eastAsia" w:cs="宋体" w:asciiTheme="minorEastAsia" w:hAnsiTheme="minorEastAsia"/>
          <w:color w:val="000000" w:themeColor="text1"/>
          <w:sz w:val="24"/>
          <w:lang w:val="en-US" w:eastAsia="zh-CN"/>
          <w14:textFill>
            <w14:solidFill>
              <w14:schemeClr w14:val="tx1"/>
            </w14:solidFill>
          </w14:textFill>
        </w:rPr>
        <w:t>61</w:t>
      </w:r>
      <w:r>
        <w:rPr>
          <w:rFonts w:hint="eastAsia" w:cs="宋体" w:asciiTheme="minorEastAsia" w:hAnsiTheme="minorEastAsia"/>
          <w:color w:val="000000" w:themeColor="text1"/>
          <w:sz w:val="24"/>
          <w14:textFill>
            <w14:solidFill>
              <w14:schemeClr w14:val="tx1"/>
            </w14:solidFill>
          </w14:textFill>
        </w:rPr>
        <w:t>00元</w:t>
      </w:r>
      <w:r>
        <w:rPr>
          <w:rFonts w:hint="eastAsia" w:cs="宋体" w:asciiTheme="minorEastAsia" w:hAnsiTheme="minorEastAsia"/>
          <w:color w:val="000000" w:themeColor="text1"/>
          <w:sz w:val="24"/>
          <w:lang w:eastAsia="zh-CN"/>
          <w14:textFill>
            <w14:solidFill>
              <w14:schemeClr w14:val="tx1"/>
            </w14:solidFill>
          </w14:textFill>
        </w:rPr>
        <w:t>；</w:t>
      </w:r>
    </w:p>
    <w:p w14:paraId="0400397A">
      <w:pPr>
        <w:spacing w:line="360" w:lineRule="auto"/>
        <w:contextualSpacing/>
        <w:jc w:val="left"/>
        <w:rPr>
          <w:rFonts w:hint="eastAsia" w:cs="宋体" w:asciiTheme="minorEastAsia" w:hAnsiTheme="minorEastAsia"/>
          <w:color w:val="000000" w:themeColor="text1"/>
          <w:sz w:val="24"/>
          <w:lang w:eastAsia="zh-CN"/>
          <w14:textFill>
            <w14:solidFill>
              <w14:schemeClr w14:val="tx1"/>
            </w14:solidFill>
          </w14:textFill>
        </w:rPr>
      </w:pPr>
      <w:r>
        <w:rPr>
          <w:rFonts w:hint="eastAsia" w:cs="宋体" w:asciiTheme="minorEastAsia" w:hAnsiTheme="minorEastAsia"/>
          <w:color w:val="000000" w:themeColor="text1"/>
          <w:sz w:val="24"/>
          <w:lang w:val="en-US" w:eastAsia="zh-CN"/>
          <w14:textFill>
            <w14:solidFill>
              <w14:schemeClr w14:val="tx1"/>
            </w14:solidFill>
          </w14:textFill>
        </w:rPr>
        <w:t>2、</w:t>
      </w:r>
      <w:r>
        <w:rPr>
          <w:rFonts w:hint="eastAsia" w:cs="宋体" w:asciiTheme="minorEastAsia" w:hAnsiTheme="minorEastAsia"/>
          <w:color w:val="000000" w:themeColor="text1"/>
          <w:sz w:val="24"/>
          <w14:textFill>
            <w14:solidFill>
              <w14:schemeClr w14:val="tx1"/>
            </w14:solidFill>
          </w14:textFill>
        </w:rPr>
        <w:t>论文答辩费</w:t>
      </w:r>
      <w:r>
        <w:rPr>
          <w:rFonts w:hint="eastAsia" w:cs="宋体" w:asciiTheme="minorEastAsia" w:hAnsiTheme="minorEastAsia"/>
          <w:color w:val="000000" w:themeColor="text1"/>
          <w:sz w:val="24"/>
          <w:lang w:eastAsia="zh-CN"/>
          <w14:textFill>
            <w14:solidFill>
              <w14:schemeClr w14:val="tx1"/>
            </w14:solidFill>
          </w14:textFill>
        </w:rPr>
        <w:t>：</w:t>
      </w:r>
      <w:r>
        <w:rPr>
          <w:rFonts w:hint="eastAsia" w:cs="宋体" w:asciiTheme="minorEastAsia" w:hAnsiTheme="minorEastAsia"/>
          <w:color w:val="000000" w:themeColor="text1"/>
          <w:sz w:val="24"/>
          <w14:textFill>
            <w14:solidFill>
              <w14:schemeClr w14:val="tx1"/>
            </w14:solidFill>
          </w14:textFill>
        </w:rPr>
        <w:t>1</w:t>
      </w:r>
      <w:r>
        <w:rPr>
          <w:rFonts w:hint="eastAsia" w:cs="宋体" w:asciiTheme="minorEastAsia" w:hAnsiTheme="minorEastAsia"/>
          <w:color w:val="000000" w:themeColor="text1"/>
          <w:sz w:val="24"/>
          <w:lang w:val="en-US" w:eastAsia="zh-CN"/>
          <w14:textFill>
            <w14:solidFill>
              <w14:schemeClr w14:val="tx1"/>
            </w14:solidFill>
          </w14:textFill>
        </w:rPr>
        <w:t>5</w:t>
      </w:r>
      <w:r>
        <w:rPr>
          <w:rFonts w:hint="eastAsia" w:cs="宋体" w:asciiTheme="minorEastAsia" w:hAnsiTheme="minorEastAsia"/>
          <w:color w:val="000000" w:themeColor="text1"/>
          <w:sz w:val="24"/>
          <w14:textFill>
            <w14:solidFill>
              <w14:schemeClr w14:val="tx1"/>
            </w14:solidFill>
          </w14:textFill>
        </w:rPr>
        <w:t>000元</w:t>
      </w:r>
      <w:r>
        <w:rPr>
          <w:rFonts w:hint="eastAsia" w:cs="宋体" w:asciiTheme="minorEastAsia" w:hAnsiTheme="minorEastAsia"/>
          <w:color w:val="000000" w:themeColor="text1"/>
          <w:sz w:val="24"/>
          <w:lang w:eastAsia="zh-CN"/>
          <w14:textFill>
            <w14:solidFill>
              <w14:schemeClr w14:val="tx1"/>
            </w14:solidFill>
          </w14:textFill>
        </w:rPr>
        <w:t>。</w:t>
      </w:r>
    </w:p>
    <w:p w14:paraId="58F51E9F">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2513B9FB">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6241D677">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09EC26D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0B3CFA3A">
      <w:pPr>
        <w:spacing w:line="360" w:lineRule="auto"/>
        <w:contextualSpacing/>
        <w:jc w:val="left"/>
        <w:rPr>
          <w:rFonts w:cs="宋体" w:asciiTheme="minorEastAsia" w:hAnsiTheme="minorEastAsia"/>
          <w:sz w:val="24"/>
        </w:rPr>
      </w:pPr>
    </w:p>
    <w:p w14:paraId="3657486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0A9715E">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3ECE614D">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6DCDFB2B">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6EBC71E9">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546EBB1A">
      <w:pPr>
        <w:pStyle w:val="4"/>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7FCB4877">
      <w:pPr>
        <w:spacing w:line="360" w:lineRule="auto"/>
        <w:contextualSpacing/>
        <w:jc w:val="left"/>
        <w:rPr>
          <w:rFonts w:cs="宋体" w:asciiTheme="minorEastAsia" w:hAnsiTheme="minorEastAsia"/>
          <w:sz w:val="24"/>
        </w:rPr>
      </w:pPr>
    </w:p>
    <w:p w14:paraId="2F3FBEB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539D401F">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38DCE813">
      <w:pPr>
        <w:spacing w:line="360" w:lineRule="auto"/>
        <w:ind w:firstLine="480" w:firstLineChars="200"/>
        <w:contextualSpacing/>
        <w:jc w:val="left"/>
        <w:rPr>
          <w:rFonts w:hint="eastAsia" w:cs="宋体" w:asciiTheme="minorEastAsia" w:hAnsiTheme="minorEastAsia"/>
          <w:sz w:val="24"/>
        </w:rPr>
      </w:pPr>
    </w:p>
    <w:p w14:paraId="05131D5F">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131C8">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3435728"/>
    <w:rsid w:val="06D435F5"/>
    <w:rsid w:val="0B673357"/>
    <w:rsid w:val="0CF066A2"/>
    <w:rsid w:val="0DC16160"/>
    <w:rsid w:val="162A63E6"/>
    <w:rsid w:val="1F026649"/>
    <w:rsid w:val="229A3DC4"/>
    <w:rsid w:val="30331882"/>
    <w:rsid w:val="3B351FFD"/>
    <w:rsid w:val="3BE155F6"/>
    <w:rsid w:val="4361784D"/>
    <w:rsid w:val="4EA60DAF"/>
    <w:rsid w:val="508605D9"/>
    <w:rsid w:val="56D96AA1"/>
    <w:rsid w:val="595B3DB3"/>
    <w:rsid w:val="5A8A1AC4"/>
    <w:rsid w:val="63D22AD7"/>
    <w:rsid w:val="67917AA6"/>
    <w:rsid w:val="6A4B4337"/>
    <w:rsid w:val="7DBF477A"/>
    <w:rsid w:val="7E266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Autospacing="1" w:afterAutospacing="1"/>
      <w:jc w:val="left"/>
    </w:pPr>
    <w:rPr>
      <w:rFonts w:cs="Times New Roman"/>
      <w:kern w:val="0"/>
      <w:sz w:val="24"/>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bCs/>
    </w:rPr>
  </w:style>
  <w:style w:type="character" w:styleId="9">
    <w:name w:val="FollowedHyperlink"/>
    <w:basedOn w:val="7"/>
    <w:uiPriority w:val="0"/>
    <w:rPr>
      <w:color w:val="337AB7"/>
      <w:u w:val="none"/>
    </w:rPr>
  </w:style>
  <w:style w:type="character" w:styleId="10">
    <w:name w:val="HTML Definition"/>
    <w:basedOn w:val="7"/>
    <w:uiPriority w:val="0"/>
    <w:rPr>
      <w:i/>
      <w:iCs/>
    </w:rPr>
  </w:style>
  <w:style w:type="character" w:styleId="11">
    <w:name w:val="Hyperlink"/>
    <w:basedOn w:val="7"/>
    <w:qFormat/>
    <w:uiPriority w:val="0"/>
    <w:rPr>
      <w:color w:val="337AB7"/>
      <w:u w:val="none"/>
    </w:rPr>
  </w:style>
  <w:style w:type="character" w:styleId="12">
    <w:name w:val="HTML Code"/>
    <w:basedOn w:val="7"/>
    <w:uiPriority w:val="0"/>
    <w:rPr>
      <w:rFonts w:hint="default" w:ascii="Consolas" w:hAnsi="Consolas" w:eastAsia="Consolas" w:cs="Consolas"/>
      <w:color w:val="C7254E"/>
      <w:sz w:val="21"/>
      <w:szCs w:val="21"/>
      <w:shd w:val="clear" w:fill="F9F2F4"/>
    </w:rPr>
  </w:style>
  <w:style w:type="character" w:styleId="13">
    <w:name w:val="HTML Keyboard"/>
    <w:basedOn w:val="7"/>
    <w:uiPriority w:val="0"/>
    <w:rPr>
      <w:rFonts w:ascii="Consolas" w:hAnsi="Consolas" w:eastAsia="Consolas" w:cs="Consolas"/>
      <w:color w:val="FFFFFF"/>
      <w:sz w:val="21"/>
      <w:szCs w:val="21"/>
      <w:shd w:val="clear" w:fill="333333"/>
    </w:rPr>
  </w:style>
  <w:style w:type="character" w:styleId="14">
    <w:name w:val="HTML Sample"/>
    <w:basedOn w:val="7"/>
    <w:uiPriority w:val="0"/>
    <w:rPr>
      <w:rFonts w:hint="default" w:ascii="Consolas" w:hAnsi="Consolas" w:eastAsia="Consolas" w:cs="Consolas"/>
      <w:sz w:val="21"/>
      <w:szCs w:val="21"/>
    </w:rPr>
  </w:style>
  <w:style w:type="character" w:customStyle="1" w:styleId="15">
    <w:name w:val="add"/>
    <w:basedOn w:val="7"/>
    <w:uiPriority w:val="0"/>
  </w:style>
  <w:style w:type="character" w:customStyle="1" w:styleId="16">
    <w:name w:val="sjsk"/>
    <w:basedOn w:val="7"/>
    <w:uiPriority w:val="0"/>
  </w:style>
  <w:style w:type="character" w:customStyle="1" w:styleId="17">
    <w:name w:val="tsxm"/>
    <w:basedOn w:val="7"/>
    <w:uiPriority w:val="0"/>
    <w:rPr>
      <w:bdr w:val="single" w:color="337AB7" w:sz="6" w:space="0"/>
    </w:rPr>
  </w:style>
  <w:style w:type="character" w:customStyle="1" w:styleId="18">
    <w:name w:val="name"/>
    <w:basedOn w:val="7"/>
    <w:uiPriority w:val="0"/>
    <w:rPr>
      <w:color w:val="FFFFFF"/>
      <w:sz w:val="33"/>
      <w:szCs w:val="3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1674</Words>
  <Characters>1696</Characters>
  <Lines>0</Lines>
  <Paragraphs>0</Paragraphs>
  <TotalTime>0</TotalTime>
  <ScaleCrop>false</ScaleCrop>
  <LinksUpToDate>false</LinksUpToDate>
  <CharactersWithSpaces>1703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2026-02-12T09:03:27Z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C23736436C934E6282ED36B95874F8A3_13</vt:lpwstr>
  </property>
  <property fmtid="{D5CDD505-2E9C-101B-9397-08002B2CF9AE}" pid="4" name="KSOTemplateDocerSaveRecord">
    <vt:lpwstr>eyJoZGlkIjoiNGQ5ODQ5N2Q1NmI0ZDAwYTJiMTcyMmU3ZjhhMWE4NmEifQ==</vt:lpwstr>
  </property>
</Properties>
</file>