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9582E">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11BEF01B">
      <w:pPr>
        <w:spacing w:line="360" w:lineRule="auto"/>
        <w:contextualSpacing/>
        <w:jc w:val="center"/>
        <w:rPr>
          <w:rFonts w:hint="eastAsia" w:cs="宋体" w:asciiTheme="majorEastAsia" w:hAnsiTheme="majorEastAsia" w:eastAsiaTheme="majorEastAsia"/>
          <w:b/>
          <w:bCs/>
          <w:sz w:val="32"/>
          <w:szCs w:val="32"/>
          <w:lang w:val="en-US" w:eastAsia="zh-CN"/>
        </w:rPr>
      </w:pPr>
      <w:r>
        <w:rPr>
          <w:rFonts w:hint="eastAsia" w:cs="宋体" w:asciiTheme="majorEastAsia" w:hAnsiTheme="majorEastAsia" w:eastAsiaTheme="majorEastAsia"/>
          <w:b/>
          <w:bCs/>
          <w:sz w:val="32"/>
          <w:szCs w:val="32"/>
        </w:rPr>
        <w:t>南昌大学工程建设学院供热、供燃气、通风及空调工程</w:t>
      </w:r>
      <w:r>
        <w:rPr>
          <w:rFonts w:hint="eastAsia" w:cs="宋体" w:asciiTheme="majorEastAsia" w:hAnsiTheme="majorEastAsia" w:eastAsiaTheme="majorEastAsia"/>
          <w:b/>
          <w:bCs/>
          <w:sz w:val="32"/>
          <w:szCs w:val="32"/>
          <w:lang w:val="en-US" w:eastAsia="zh-CN"/>
        </w:rPr>
        <w:t>专业</w:t>
      </w:r>
    </w:p>
    <w:p w14:paraId="2D665110">
      <w:pPr>
        <w:spacing w:line="360" w:lineRule="auto"/>
        <w:contextualSpacing/>
        <w:jc w:val="center"/>
        <w:rPr>
          <w:rFonts w:hint="eastAsia" w:cs="宋体" w:asciiTheme="majorEastAsia" w:hAnsiTheme="majorEastAsia" w:eastAsiaTheme="majorEastAsia"/>
          <w:b/>
          <w:bCs/>
          <w:sz w:val="32"/>
          <w:szCs w:val="32"/>
        </w:rPr>
      </w:pPr>
      <w:r>
        <w:rPr>
          <w:rFonts w:hint="eastAsia" w:cs="宋体" w:asciiTheme="majorEastAsia" w:hAnsiTheme="majorEastAsia" w:eastAsiaTheme="majorEastAsia"/>
          <w:b/>
          <w:bCs/>
          <w:sz w:val="32"/>
          <w:szCs w:val="32"/>
        </w:rPr>
        <w:t>同等学力申请硕士学位招生简章</w:t>
      </w:r>
    </w:p>
    <w:p w14:paraId="7F35BA5D">
      <w:pPr>
        <w:tabs>
          <w:tab w:val="left" w:pos="2820"/>
        </w:tabs>
        <w:spacing w:line="360" w:lineRule="auto"/>
        <w:contextualSpacing/>
        <w:jc w:val="left"/>
        <w:rPr>
          <w:rFonts w:cs="宋体" w:asciiTheme="minorEastAsia" w:hAnsiTheme="minorEastAsia"/>
          <w:sz w:val="24"/>
        </w:rPr>
      </w:pPr>
    </w:p>
    <w:p w14:paraId="015958B4">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324419A3">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3F82D1BC">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工程建设学院前身是1958年创立的江西工学院土木建筑工程系，办学始于1940年创建的国立中正大学土木水利学科。2022年院系调整，建筑工程学院更名为工程建设学院。学院拥有力学博士后流动站，力学、水利工程2个博士学位授权一级学科，力学、土木工程、水利工程3个硕士学位授权一级学科，以及土木水利硕士专业学位授权类别。</w:t>
      </w:r>
    </w:p>
    <w:p w14:paraId="4F5D70BC">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供热、供燃气、通风及空调工程专业是土木工程的二级学科之一，此专业以能源问题或建筑物与人的关系为背景，主要研究内容包括民用与工业建筑、运载工具及人工气候室中的温湿度、清洁度及空气质量的控制，为实现此环境控制的采暖通风和空调系统，与之相应的冷热源及能源转换设备，以及燃气、蒸汽与冷热水输送系统。</w:t>
      </w:r>
    </w:p>
    <w:p w14:paraId="3B52AD6D">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rPr>
        <w:t>为适应</w:t>
      </w:r>
      <w:r>
        <w:rPr>
          <w:rFonts w:hint="eastAsia" w:ascii="宋体" w:hAnsi="宋体" w:eastAsia="宋体" w:cs="宋体"/>
          <w:i w:val="0"/>
          <w:iCs w:val="0"/>
          <w:caps w:val="0"/>
          <w:color w:val="000000"/>
          <w:spacing w:val="0"/>
          <w:sz w:val="24"/>
          <w:szCs w:val="24"/>
          <w:shd w:val="clear" w:fill="FFFFFF"/>
          <w:lang w:val="en-US" w:eastAsia="zh-CN"/>
        </w:rPr>
        <w:t>全国</w:t>
      </w:r>
      <w:r>
        <w:rPr>
          <w:rFonts w:hint="eastAsia" w:ascii="宋体" w:hAnsi="宋体" w:eastAsia="宋体" w:cs="宋体"/>
          <w:i w:val="0"/>
          <w:iCs w:val="0"/>
          <w:caps w:val="0"/>
          <w:color w:val="000000"/>
          <w:spacing w:val="0"/>
          <w:sz w:val="24"/>
          <w:szCs w:val="24"/>
          <w:shd w:val="clear" w:fill="FFFFFF"/>
        </w:rPr>
        <w:t>经济发展的需要，满足社会对</w:t>
      </w:r>
      <w:r>
        <w:rPr>
          <w:rFonts w:hint="eastAsia" w:ascii="宋体" w:hAnsi="宋体" w:eastAsia="宋体" w:cs="宋体"/>
          <w:i w:val="0"/>
          <w:iCs w:val="0"/>
          <w:caps w:val="0"/>
          <w:color w:val="000000"/>
          <w:spacing w:val="0"/>
          <w:sz w:val="24"/>
          <w:szCs w:val="24"/>
          <w:shd w:val="clear" w:fill="FFFFFF"/>
          <w:lang w:val="en-US" w:eastAsia="zh-CN"/>
        </w:rPr>
        <w:t>工程领域高层</w:t>
      </w:r>
      <w:r>
        <w:rPr>
          <w:rFonts w:hint="eastAsia" w:ascii="宋体" w:hAnsi="宋体" w:eastAsia="宋体" w:cs="宋体"/>
          <w:i w:val="0"/>
          <w:iCs w:val="0"/>
          <w:caps w:val="0"/>
          <w:color w:val="000000"/>
          <w:spacing w:val="0"/>
          <w:sz w:val="24"/>
          <w:szCs w:val="24"/>
          <w:shd w:val="clear" w:fill="FFFFFF"/>
        </w:rPr>
        <w:t>次</w:t>
      </w:r>
      <w:r>
        <w:rPr>
          <w:rFonts w:hint="eastAsia" w:ascii="宋体" w:hAnsi="宋体" w:eastAsia="宋体" w:cs="宋体"/>
          <w:i w:val="0"/>
          <w:iCs w:val="0"/>
          <w:caps w:val="0"/>
          <w:color w:val="000000"/>
          <w:spacing w:val="0"/>
          <w:sz w:val="24"/>
          <w:szCs w:val="24"/>
          <w:shd w:val="clear" w:fill="FFFFFF"/>
          <w:lang w:val="en-US" w:eastAsia="zh-CN"/>
        </w:rPr>
        <w:t>专业</w:t>
      </w:r>
      <w:r>
        <w:rPr>
          <w:rFonts w:hint="eastAsia" w:ascii="宋体" w:hAnsi="宋体" w:eastAsia="宋体" w:cs="宋体"/>
          <w:i w:val="0"/>
          <w:iCs w:val="0"/>
          <w:caps w:val="0"/>
          <w:color w:val="000000"/>
          <w:spacing w:val="0"/>
          <w:sz w:val="24"/>
          <w:szCs w:val="24"/>
          <w:shd w:val="clear" w:fill="FFFFFF"/>
        </w:rPr>
        <w:t>人才的需求，南昌大学</w:t>
      </w:r>
      <w:r>
        <w:rPr>
          <w:rFonts w:hint="eastAsia" w:ascii="宋体" w:hAnsi="宋体" w:eastAsia="宋体" w:cs="宋体"/>
          <w:i w:val="0"/>
          <w:iCs w:val="0"/>
          <w:caps w:val="0"/>
          <w:color w:val="000000"/>
          <w:spacing w:val="0"/>
          <w:sz w:val="24"/>
          <w:szCs w:val="24"/>
          <w:shd w:val="clear" w:fill="FFFFFF"/>
          <w:lang w:val="en-US" w:eastAsia="zh-CN"/>
        </w:rPr>
        <w:t>工程建设学院</w:t>
      </w:r>
      <w:r>
        <w:rPr>
          <w:rFonts w:hint="eastAsia" w:ascii="宋体" w:hAnsi="宋体" w:eastAsia="宋体" w:cs="宋体"/>
          <w:i w:val="0"/>
          <w:iCs w:val="0"/>
          <w:caps w:val="0"/>
          <w:color w:val="000000"/>
          <w:spacing w:val="0"/>
          <w:sz w:val="24"/>
          <w:szCs w:val="24"/>
          <w:shd w:val="clear" w:fill="FFFFFF"/>
        </w:rPr>
        <w:t>研究</w:t>
      </w:r>
      <w:r>
        <w:rPr>
          <w:rFonts w:hint="eastAsia" w:ascii="宋体" w:hAnsi="宋体" w:eastAsia="宋体" w:cs="宋体"/>
          <w:i w:val="0"/>
          <w:iCs w:val="0"/>
          <w:caps w:val="0"/>
          <w:color w:val="000000"/>
          <w:spacing w:val="0"/>
          <w:sz w:val="24"/>
          <w:szCs w:val="24"/>
          <w:shd w:val="clear" w:fill="FFFFFF"/>
          <w:lang w:val="en-US" w:eastAsia="zh-CN"/>
        </w:rPr>
        <w:t>决定面向全国开设</w:t>
      </w:r>
      <w:r>
        <w:rPr>
          <w:rFonts w:hint="eastAsia" w:ascii="宋体" w:hAnsi="宋体" w:eastAsia="宋体" w:cs="宋体"/>
          <w:i w:val="0"/>
          <w:iCs w:val="0"/>
          <w:caps w:val="0"/>
          <w:color w:val="000000"/>
          <w:spacing w:val="0"/>
          <w:sz w:val="24"/>
          <w:szCs w:val="24"/>
          <w:shd w:val="clear" w:fill="FFFFFF"/>
        </w:rPr>
        <w:t>供热、供燃气、通风及空调工程</w:t>
      </w:r>
      <w:r>
        <w:rPr>
          <w:rFonts w:hint="eastAsia" w:ascii="宋体" w:hAnsi="宋体" w:eastAsia="宋体" w:cs="宋体"/>
          <w:i w:val="0"/>
          <w:iCs w:val="0"/>
          <w:caps w:val="0"/>
          <w:color w:val="000000"/>
          <w:spacing w:val="0"/>
          <w:sz w:val="24"/>
          <w:szCs w:val="24"/>
          <w:shd w:val="clear" w:fill="FFFFFF"/>
          <w:lang w:val="en-US" w:eastAsia="zh-CN"/>
        </w:rPr>
        <w:t>专业</w:t>
      </w:r>
      <w:r>
        <w:rPr>
          <w:rFonts w:hint="eastAsia" w:ascii="宋体" w:hAnsi="宋体" w:eastAsia="宋体" w:cs="宋体"/>
          <w:i w:val="0"/>
          <w:iCs w:val="0"/>
          <w:caps w:val="0"/>
          <w:color w:val="000000"/>
          <w:spacing w:val="0"/>
          <w:sz w:val="24"/>
          <w:szCs w:val="24"/>
          <w:shd w:val="clear" w:fill="FFFFFF"/>
        </w:rPr>
        <w:t>同等学力申请硕士学位课程研修班。</w:t>
      </w:r>
    </w:p>
    <w:p w14:paraId="7540E3A8">
      <w:pPr>
        <w:spacing w:line="360" w:lineRule="auto"/>
        <w:contextualSpacing/>
        <w:jc w:val="left"/>
        <w:rPr>
          <w:rFonts w:hint="eastAsia" w:cs="宋体" w:asciiTheme="minorEastAsia" w:hAnsiTheme="minorEastAsia"/>
          <w:sz w:val="24"/>
        </w:rPr>
      </w:pPr>
    </w:p>
    <w:p w14:paraId="538F20A4">
      <w:pPr>
        <w:spacing w:line="360" w:lineRule="auto"/>
        <w:contextualSpacing/>
        <w:jc w:val="left"/>
        <w:rPr>
          <w:rFonts w:hint="eastAsia" w:cs="宋体" w:asciiTheme="minorEastAsia" w:hAnsiTheme="minorEastAsia"/>
          <w:sz w:val="24"/>
        </w:rPr>
      </w:pPr>
    </w:p>
    <w:p w14:paraId="67194EEB">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6D63F710">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本专业主要培养掌握供热通风及制冷设备的基本理论知识和专业技能，具有供热通风及制冷设备的工程设计、运行、施工与预算等方面能力的综合素质学员；</w:t>
      </w:r>
    </w:p>
    <w:p w14:paraId="548ECC2B">
      <w:pPr>
        <w:spacing w:line="360" w:lineRule="auto"/>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能在设计研究院、大型现代物业管理公司、建筑工程单位、物业管理部门及相关的科研、生产和教学单位从事供热系统设计、设备管理、工程监理、建筑环境供暖、专业教学、管理工作的高级应用型人才。</w:t>
      </w:r>
    </w:p>
    <w:p w14:paraId="27B6EE2B">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bookmarkStart w:id="0" w:name="_GoBack"/>
      <w:bookmarkEnd w:id="0"/>
    </w:p>
    <w:p w14:paraId="66F2C819">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2216CE3C">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一流</w:t>
      </w:r>
      <w:r>
        <w:rPr>
          <w:rFonts w:hint="eastAsia" w:cs="宋体" w:asciiTheme="minorEastAsia" w:hAnsiTheme="minorEastAsia"/>
          <w:sz w:val="24"/>
        </w:rPr>
        <w:t>学科】</w:t>
      </w:r>
      <w:r>
        <w:rPr>
          <w:rFonts w:hint="eastAsia" w:cs="宋体" w:asciiTheme="minorEastAsia" w:hAnsiTheme="minorEastAsia"/>
          <w:sz w:val="24"/>
          <w:lang w:val="en-US" w:eastAsia="zh-CN"/>
        </w:rPr>
        <w:t>学院拥有众多硕士学位一级学科，均已通过专业认证；</w:t>
      </w:r>
    </w:p>
    <w:p w14:paraId="2B74F106">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先学习课程再参加全国统考</w:t>
      </w:r>
      <w:r>
        <w:rPr>
          <w:rFonts w:cs="宋体" w:asciiTheme="minorEastAsia" w:hAnsiTheme="minorEastAsia"/>
          <w:sz w:val="24"/>
        </w:rPr>
        <w:t>；</w:t>
      </w:r>
    </w:p>
    <w:p w14:paraId="4B9AC373">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【申硕仅考</w:t>
      </w:r>
      <w:r>
        <w:rPr>
          <w:rFonts w:hint="eastAsia" w:cs="宋体" w:asciiTheme="minorEastAsia" w:hAnsiTheme="minorEastAsia"/>
          <w:sz w:val="24"/>
          <w:lang w:val="en-US" w:eastAsia="zh-CN"/>
        </w:rPr>
        <w:t>1</w:t>
      </w:r>
      <w:r>
        <w:rPr>
          <w:rFonts w:hint="eastAsia" w:cs="宋体" w:asciiTheme="minorEastAsia" w:hAnsiTheme="minorEastAsia"/>
          <w:sz w:val="24"/>
        </w:rPr>
        <w:t>科】满足条件的学员可申请申硕考试，仅考外语</w:t>
      </w:r>
      <w:r>
        <w:rPr>
          <w:rFonts w:hint="eastAsia" w:cs="宋体" w:asciiTheme="minorEastAsia" w:hAnsiTheme="minorEastAsia"/>
          <w:sz w:val="24"/>
          <w:lang w:val="en-US" w:eastAsia="zh-CN"/>
        </w:rPr>
        <w:t>1</w:t>
      </w:r>
      <w:r>
        <w:rPr>
          <w:rFonts w:hint="eastAsia" w:cs="宋体" w:asciiTheme="minorEastAsia" w:hAnsiTheme="minorEastAsia"/>
          <w:sz w:val="24"/>
        </w:rPr>
        <w:t>科，百分制60分合格，难度较低；</w:t>
      </w:r>
    </w:p>
    <w:p w14:paraId="6AA220CC">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次申硕考试机会，仅考</w:t>
      </w:r>
      <w:r>
        <w:rPr>
          <w:rFonts w:hint="eastAsia" w:cs="宋体" w:asciiTheme="minorEastAsia" w:hAnsiTheme="minorEastAsia"/>
          <w:sz w:val="24"/>
          <w:lang w:val="en-US" w:eastAsia="zh-CN"/>
        </w:rPr>
        <w:t>1</w:t>
      </w:r>
      <w:r>
        <w:rPr>
          <w:rFonts w:hint="eastAsia" w:cs="宋体" w:asciiTheme="minorEastAsia" w:hAnsiTheme="minorEastAsia"/>
          <w:sz w:val="24"/>
        </w:rPr>
        <w:t>科，大大提升申硕通过率；</w:t>
      </w:r>
    </w:p>
    <w:p w14:paraId="258D1BA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2E76E75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0ECA16BE">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07FBFCCE">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pPr w:leftFromText="180" w:rightFromText="180" w:vertAnchor="text" w:horzAnchor="page" w:tblpX="1882" w:tblpY="18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1"/>
        <w:gridCol w:w="3650"/>
        <w:gridCol w:w="3311"/>
      </w:tblGrid>
      <w:tr w14:paraId="2E0F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vAlign w:val="center"/>
          </w:tcPr>
          <w:p w14:paraId="7832EF94">
            <w:pPr>
              <w:spacing w:line="360" w:lineRule="auto"/>
              <w:ind w:left="0" w:leftChars="0"/>
              <w:contextualSpacing/>
              <w:jc w:val="center"/>
              <w:rPr>
                <w:rFonts w:cs="宋体" w:asciiTheme="minorEastAsia" w:hAnsiTheme="minorEastAsia"/>
                <w:b/>
                <w:sz w:val="24"/>
              </w:rPr>
            </w:pPr>
            <w:r>
              <w:rPr>
                <w:rFonts w:hint="eastAsia" w:cs="宋体" w:asciiTheme="minorEastAsia" w:hAnsiTheme="minorEastAsia"/>
                <w:b/>
                <w:sz w:val="24"/>
              </w:rPr>
              <w:t>供热、供燃气、通风及空调工程专业课程设置</w:t>
            </w:r>
          </w:p>
        </w:tc>
      </w:tr>
      <w:tr w14:paraId="3DF4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restart"/>
            <w:vAlign w:val="center"/>
          </w:tcPr>
          <w:p w14:paraId="6763280B">
            <w:pPr>
              <w:spacing w:line="360" w:lineRule="auto"/>
              <w:ind w:left="0" w:leftChars="0"/>
              <w:contextualSpacing/>
              <w:jc w:val="center"/>
              <w:rPr>
                <w:rFonts w:cs="宋体" w:asciiTheme="minorEastAsia" w:hAnsiTheme="minorEastAsia"/>
                <w:sz w:val="24"/>
              </w:rPr>
            </w:pPr>
            <w:r>
              <w:rPr>
                <w:rFonts w:hint="eastAsia" w:cs="宋体" w:asciiTheme="minorEastAsia" w:hAnsiTheme="minorEastAsia"/>
                <w:sz w:val="24"/>
              </w:rPr>
              <w:t>公共课</w:t>
            </w:r>
          </w:p>
        </w:tc>
        <w:tc>
          <w:tcPr>
            <w:tcW w:w="3650" w:type="dxa"/>
            <w:vAlign w:val="center"/>
          </w:tcPr>
          <w:p w14:paraId="44E75F42">
            <w:pPr>
              <w:spacing w:line="360" w:lineRule="auto"/>
              <w:ind w:left="0" w:leftChars="0"/>
              <w:contextualSpacing/>
              <w:jc w:val="center"/>
              <w:rPr>
                <w:rFonts w:hint="default" w:cs="宋体" w:asciiTheme="minorEastAsia" w:hAnsiTheme="minorEastAsia" w:eastAsiaTheme="minorEastAsia"/>
                <w:sz w:val="24"/>
                <w:lang w:val="en-US" w:eastAsia="zh-CN"/>
              </w:rPr>
            </w:pPr>
            <w:r>
              <w:rPr>
                <w:rFonts w:hint="default" w:cs="宋体" w:asciiTheme="minorEastAsia" w:hAnsiTheme="minorEastAsia" w:eastAsiaTheme="minorEastAsia"/>
                <w:sz w:val="21"/>
                <w:szCs w:val="21"/>
                <w:lang w:val="en-US" w:eastAsia="zh-CN"/>
              </w:rPr>
              <w:t>科学社会主义理论与实践</w:t>
            </w:r>
          </w:p>
        </w:tc>
        <w:tc>
          <w:tcPr>
            <w:tcW w:w="3311" w:type="dxa"/>
            <w:vAlign w:val="center"/>
          </w:tcPr>
          <w:p w14:paraId="32E1C225">
            <w:pPr>
              <w:spacing w:line="360" w:lineRule="auto"/>
              <w:ind w:left="0" w:leftChars="0"/>
              <w:contextualSpacing/>
              <w:jc w:val="center"/>
              <w:rPr>
                <w:rFonts w:hint="eastAsia" w:cs="宋体" w:asciiTheme="minorEastAsia" w:hAnsiTheme="minorEastAsia"/>
                <w:sz w:val="21"/>
                <w:szCs w:val="21"/>
                <w:lang w:val="en-US" w:eastAsia="zh-CN"/>
              </w:rPr>
            </w:pPr>
            <w:r>
              <w:rPr>
                <w:rFonts w:hint="eastAsia" w:cs="宋体" w:asciiTheme="minorEastAsia" w:hAnsiTheme="minorEastAsia"/>
                <w:sz w:val="21"/>
                <w:szCs w:val="21"/>
                <w:lang w:val="en-US" w:eastAsia="zh-CN"/>
              </w:rPr>
              <w:t>自然辩证法</w:t>
            </w:r>
          </w:p>
        </w:tc>
      </w:tr>
      <w:tr w14:paraId="66E4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356E72A0">
            <w:pPr>
              <w:spacing w:line="360" w:lineRule="auto"/>
              <w:ind w:left="0" w:leftChars="0"/>
              <w:contextualSpacing/>
              <w:jc w:val="center"/>
              <w:rPr>
                <w:rFonts w:cs="宋体" w:asciiTheme="minorEastAsia" w:hAnsiTheme="minorEastAsia"/>
                <w:sz w:val="24"/>
              </w:rPr>
            </w:pPr>
          </w:p>
        </w:tc>
        <w:tc>
          <w:tcPr>
            <w:tcW w:w="3650" w:type="dxa"/>
            <w:vAlign w:val="center"/>
          </w:tcPr>
          <w:p w14:paraId="66AFCB83">
            <w:pPr>
              <w:spacing w:line="360" w:lineRule="auto"/>
              <w:ind w:left="0" w:leftChars="0"/>
              <w:contextualSpacing/>
              <w:jc w:val="center"/>
              <w:rPr>
                <w:rFonts w:hint="default" w:cs="宋体" w:asciiTheme="minorEastAsia" w:hAnsiTheme="minorEastAsia" w:eastAsiaTheme="minorEastAsia"/>
                <w:sz w:val="21"/>
                <w:szCs w:val="21"/>
                <w:lang w:val="en-US" w:eastAsia="zh-CN"/>
              </w:rPr>
            </w:pPr>
            <w:r>
              <w:rPr>
                <w:rFonts w:hint="eastAsia" w:cs="宋体" w:asciiTheme="minorEastAsia" w:hAnsiTheme="minorEastAsia"/>
                <w:sz w:val="21"/>
                <w:szCs w:val="21"/>
                <w:lang w:val="en-US" w:eastAsia="zh-CN"/>
              </w:rPr>
              <w:t>英语</w:t>
            </w:r>
          </w:p>
        </w:tc>
        <w:tc>
          <w:tcPr>
            <w:tcW w:w="3311" w:type="dxa"/>
            <w:vAlign w:val="center"/>
          </w:tcPr>
          <w:p w14:paraId="4ACD98D3">
            <w:pPr>
              <w:spacing w:line="360" w:lineRule="auto"/>
              <w:ind w:left="0" w:leftChars="0"/>
              <w:contextualSpacing/>
              <w:jc w:val="center"/>
              <w:rPr>
                <w:rFonts w:hint="default" w:cs="宋体" w:asciiTheme="minorEastAsia" w:hAnsiTheme="minorEastAsia"/>
                <w:sz w:val="21"/>
                <w:szCs w:val="21"/>
                <w:lang w:val="en-US" w:eastAsia="zh-CN"/>
              </w:rPr>
            </w:pPr>
          </w:p>
        </w:tc>
      </w:tr>
      <w:tr w14:paraId="111B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restart"/>
            <w:vAlign w:val="center"/>
          </w:tcPr>
          <w:p w14:paraId="067ACB63">
            <w:pPr>
              <w:spacing w:line="360" w:lineRule="auto"/>
              <w:ind w:left="0" w:leftChars="0" w:firstLine="240" w:firstLineChars="100"/>
              <w:contextualSpacing/>
              <w:jc w:val="center"/>
              <w:rPr>
                <w:rFonts w:hint="default" w:cs="宋体" w:asciiTheme="minorEastAsia" w:hAnsiTheme="minorEastAsia" w:eastAsiaTheme="minorEastAsia"/>
                <w:sz w:val="24"/>
                <w:lang w:val="en-US" w:eastAsia="zh-CN"/>
              </w:rPr>
            </w:pPr>
            <w:r>
              <w:rPr>
                <w:rFonts w:hint="eastAsia" w:cs="宋体" w:asciiTheme="minorEastAsia" w:hAnsiTheme="minorEastAsia"/>
                <w:sz w:val="24"/>
                <w:lang w:val="en-US" w:eastAsia="zh-CN"/>
              </w:rPr>
              <w:t>专业课</w:t>
            </w:r>
          </w:p>
        </w:tc>
        <w:tc>
          <w:tcPr>
            <w:tcW w:w="3650" w:type="dxa"/>
            <w:vAlign w:val="center"/>
          </w:tcPr>
          <w:p w14:paraId="3024BC3C">
            <w:pPr>
              <w:spacing w:line="360" w:lineRule="auto"/>
              <w:ind w:left="0" w:leftChars="0"/>
              <w:contextualSpacing/>
              <w:jc w:val="center"/>
              <w:rPr>
                <w:rFonts w:hint="default" w:cs="宋体" w:asciiTheme="minorEastAsia" w:hAnsiTheme="minorEastAsia" w:eastAsiaTheme="minorEastAsia"/>
                <w:sz w:val="21"/>
                <w:szCs w:val="21"/>
                <w:lang w:val="en-US" w:eastAsia="zh-CN"/>
              </w:rPr>
            </w:pPr>
            <w:r>
              <w:rPr>
                <w:rFonts w:hint="eastAsia" w:ascii="宋体" w:hAnsi="宋体" w:cs="宋体"/>
                <w:szCs w:val="21"/>
              </w:rPr>
              <w:t>冷热源新技术</w:t>
            </w:r>
          </w:p>
        </w:tc>
        <w:tc>
          <w:tcPr>
            <w:tcW w:w="3311" w:type="dxa"/>
            <w:vAlign w:val="center"/>
          </w:tcPr>
          <w:p w14:paraId="2C7B18A8">
            <w:pPr>
              <w:spacing w:line="360" w:lineRule="auto"/>
              <w:ind w:left="0" w:leftChars="0"/>
              <w:contextualSpacing/>
              <w:jc w:val="center"/>
              <w:rPr>
                <w:rFonts w:hint="default" w:cs="宋体" w:asciiTheme="minorEastAsia" w:hAnsiTheme="minorEastAsia"/>
                <w:sz w:val="21"/>
                <w:szCs w:val="21"/>
                <w:lang w:val="en-US" w:eastAsia="zh-CN"/>
              </w:rPr>
            </w:pPr>
            <w:r>
              <w:rPr>
                <w:rFonts w:hint="eastAsia" w:ascii="宋体" w:hAnsi="宋体" w:cs="宋体"/>
                <w:szCs w:val="21"/>
              </w:rPr>
              <w:t>建筑电气控制技术</w:t>
            </w:r>
          </w:p>
        </w:tc>
      </w:tr>
      <w:tr w14:paraId="50B4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34AA975F">
            <w:pPr>
              <w:spacing w:line="360" w:lineRule="auto"/>
              <w:ind w:left="0" w:leftChars="0"/>
              <w:contextualSpacing/>
              <w:jc w:val="center"/>
              <w:rPr>
                <w:rFonts w:cs="宋体" w:asciiTheme="minorEastAsia" w:hAnsiTheme="minorEastAsia"/>
                <w:sz w:val="24"/>
              </w:rPr>
            </w:pPr>
          </w:p>
        </w:tc>
        <w:tc>
          <w:tcPr>
            <w:tcW w:w="3650" w:type="dxa"/>
            <w:vAlign w:val="center"/>
          </w:tcPr>
          <w:p w14:paraId="17321585">
            <w:pPr>
              <w:spacing w:line="360" w:lineRule="auto"/>
              <w:ind w:left="0" w:leftChars="0"/>
              <w:contextualSpacing/>
              <w:jc w:val="center"/>
              <w:rPr>
                <w:rFonts w:cs="宋体" w:asciiTheme="minorEastAsia" w:hAnsiTheme="minorEastAsia"/>
                <w:sz w:val="21"/>
                <w:szCs w:val="21"/>
              </w:rPr>
            </w:pPr>
            <w:r>
              <w:rPr>
                <w:rFonts w:hint="eastAsia" w:ascii="宋体" w:hAnsi="宋体" w:cs="宋体"/>
                <w:szCs w:val="21"/>
              </w:rPr>
              <w:t>数据采集系统与接口技术</w:t>
            </w:r>
          </w:p>
        </w:tc>
        <w:tc>
          <w:tcPr>
            <w:tcW w:w="3311" w:type="dxa"/>
            <w:vAlign w:val="center"/>
          </w:tcPr>
          <w:p w14:paraId="186BE79A">
            <w:pPr>
              <w:spacing w:line="360" w:lineRule="auto"/>
              <w:ind w:left="0" w:leftChars="0"/>
              <w:jc w:val="center"/>
              <w:rPr>
                <w:rFonts w:hint="default" w:cs="宋体" w:asciiTheme="minorEastAsia" w:hAnsiTheme="minorEastAsia"/>
                <w:sz w:val="21"/>
                <w:szCs w:val="21"/>
                <w:lang w:val="en-US" w:eastAsia="zh-CN"/>
              </w:rPr>
            </w:pPr>
            <w:r>
              <w:rPr>
                <w:rFonts w:hint="eastAsia" w:ascii="宋体" w:hAnsi="宋体" w:cs="宋体"/>
                <w:szCs w:val="21"/>
              </w:rPr>
              <w:t>供热技术及太阳能利用</w:t>
            </w:r>
          </w:p>
        </w:tc>
      </w:tr>
      <w:tr w14:paraId="42BA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restart"/>
            <w:vAlign w:val="center"/>
          </w:tcPr>
          <w:p w14:paraId="45B44DBC">
            <w:pPr>
              <w:spacing w:line="360" w:lineRule="auto"/>
              <w:ind w:left="0" w:leftChars="0"/>
              <w:contextualSpacing/>
              <w:jc w:val="center"/>
              <w:rPr>
                <w:rFonts w:hint="eastAsia" w:cs="宋体" w:asciiTheme="minorEastAsia" w:hAnsiTheme="minorEastAsia" w:eastAsiaTheme="minorEastAsia"/>
                <w:sz w:val="24"/>
                <w:lang w:val="en-US" w:eastAsia="zh-CN"/>
              </w:rPr>
            </w:pPr>
            <w:r>
              <w:rPr>
                <w:rFonts w:hint="eastAsia" w:cs="宋体" w:asciiTheme="minorEastAsia" w:hAnsiTheme="minorEastAsia"/>
                <w:sz w:val="24"/>
                <w:lang w:val="en-US" w:eastAsia="zh-CN"/>
              </w:rPr>
              <w:t>选修课</w:t>
            </w:r>
          </w:p>
        </w:tc>
        <w:tc>
          <w:tcPr>
            <w:tcW w:w="3650" w:type="dxa"/>
            <w:vAlign w:val="center"/>
          </w:tcPr>
          <w:p w14:paraId="5FEFD41C">
            <w:pPr>
              <w:spacing w:line="360" w:lineRule="auto"/>
              <w:ind w:left="0" w:leftChars="0"/>
              <w:contextualSpacing/>
              <w:jc w:val="center"/>
              <w:rPr>
                <w:rFonts w:hint="default" w:cs="宋体" w:asciiTheme="minorEastAsia" w:hAnsiTheme="minorEastAsia" w:eastAsiaTheme="minorEastAsia"/>
                <w:sz w:val="21"/>
                <w:szCs w:val="21"/>
                <w:lang w:val="en-US" w:eastAsia="zh-CN"/>
              </w:rPr>
            </w:pPr>
            <w:r>
              <w:rPr>
                <w:rFonts w:hint="eastAsia" w:ascii="宋体" w:hAnsi="宋体" w:cs="宋体"/>
                <w:szCs w:val="21"/>
              </w:rPr>
              <w:t>高等传热学</w:t>
            </w:r>
          </w:p>
        </w:tc>
        <w:tc>
          <w:tcPr>
            <w:tcW w:w="3311" w:type="dxa"/>
            <w:vAlign w:val="center"/>
          </w:tcPr>
          <w:p w14:paraId="2685FAD1">
            <w:pPr>
              <w:spacing w:line="360" w:lineRule="auto"/>
              <w:ind w:left="0" w:leftChars="0"/>
              <w:contextualSpacing/>
              <w:jc w:val="center"/>
              <w:rPr>
                <w:rFonts w:hint="default" w:cs="宋体" w:asciiTheme="minorEastAsia" w:hAnsiTheme="minorEastAsia"/>
                <w:sz w:val="21"/>
                <w:szCs w:val="21"/>
                <w:lang w:val="en-US" w:eastAsia="zh-CN"/>
              </w:rPr>
            </w:pPr>
            <w:r>
              <w:rPr>
                <w:rFonts w:hint="eastAsia" w:ascii="宋体" w:hAnsi="宋体" w:cs="宋体"/>
                <w:szCs w:val="21"/>
              </w:rPr>
              <w:t>现代空调技术</w:t>
            </w:r>
          </w:p>
        </w:tc>
      </w:tr>
      <w:tr w14:paraId="26FE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70F16F3F">
            <w:pPr>
              <w:spacing w:line="360" w:lineRule="auto"/>
              <w:ind w:left="0" w:leftChars="0"/>
              <w:contextualSpacing/>
              <w:jc w:val="center"/>
              <w:rPr>
                <w:rFonts w:cs="宋体" w:asciiTheme="minorEastAsia" w:hAnsiTheme="minorEastAsia"/>
                <w:sz w:val="24"/>
              </w:rPr>
            </w:pPr>
          </w:p>
        </w:tc>
        <w:tc>
          <w:tcPr>
            <w:tcW w:w="3650" w:type="dxa"/>
            <w:vAlign w:val="center"/>
          </w:tcPr>
          <w:p w14:paraId="1C855D38">
            <w:pPr>
              <w:spacing w:line="360" w:lineRule="auto"/>
              <w:ind w:left="0" w:leftChars="0"/>
              <w:contextualSpacing/>
              <w:jc w:val="center"/>
              <w:rPr>
                <w:rFonts w:hint="default" w:cs="宋体" w:asciiTheme="minorEastAsia" w:hAnsiTheme="minorEastAsia" w:eastAsiaTheme="minorEastAsia"/>
                <w:sz w:val="21"/>
                <w:szCs w:val="21"/>
                <w:lang w:val="en-US" w:eastAsia="zh-CN"/>
              </w:rPr>
            </w:pPr>
            <w:r>
              <w:rPr>
                <w:rFonts w:hint="eastAsia" w:ascii="宋体" w:hAnsi="宋体" w:cs="宋体"/>
                <w:szCs w:val="21"/>
              </w:rPr>
              <w:t>建筑热物理学</w:t>
            </w:r>
          </w:p>
        </w:tc>
        <w:tc>
          <w:tcPr>
            <w:tcW w:w="3311" w:type="dxa"/>
            <w:vAlign w:val="center"/>
          </w:tcPr>
          <w:p w14:paraId="2138EAC6">
            <w:pPr>
              <w:spacing w:line="360" w:lineRule="auto"/>
              <w:ind w:left="0" w:leftChars="0"/>
              <w:contextualSpacing/>
              <w:jc w:val="center"/>
              <w:rPr>
                <w:rFonts w:hint="default" w:cs="宋体" w:asciiTheme="minorEastAsia" w:hAnsiTheme="minorEastAsia"/>
                <w:sz w:val="21"/>
                <w:szCs w:val="21"/>
                <w:lang w:val="en-US" w:eastAsia="zh-CN"/>
              </w:rPr>
            </w:pPr>
            <w:r>
              <w:rPr>
                <w:rFonts w:hint="eastAsia" w:ascii="宋体" w:hAnsi="宋体" w:cs="宋体"/>
                <w:szCs w:val="21"/>
              </w:rPr>
              <w:t>高等热质交换技术原理</w:t>
            </w:r>
          </w:p>
        </w:tc>
      </w:tr>
      <w:tr w14:paraId="137C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68FF3FBE">
            <w:pPr>
              <w:spacing w:line="360" w:lineRule="auto"/>
              <w:ind w:left="0" w:leftChars="0"/>
              <w:contextualSpacing/>
              <w:jc w:val="center"/>
              <w:rPr>
                <w:rFonts w:cs="宋体" w:asciiTheme="minorEastAsia" w:hAnsiTheme="minorEastAsia"/>
                <w:sz w:val="24"/>
              </w:rPr>
            </w:pPr>
          </w:p>
        </w:tc>
        <w:tc>
          <w:tcPr>
            <w:tcW w:w="3650" w:type="dxa"/>
            <w:vAlign w:val="center"/>
          </w:tcPr>
          <w:p w14:paraId="592AB886">
            <w:pPr>
              <w:spacing w:line="360" w:lineRule="auto"/>
              <w:ind w:left="0" w:leftChars="0"/>
              <w:contextualSpacing/>
              <w:jc w:val="center"/>
              <w:rPr>
                <w:rFonts w:hint="eastAsia" w:cs="宋体" w:asciiTheme="minorEastAsia" w:hAnsiTheme="minorEastAsia"/>
                <w:sz w:val="21"/>
                <w:szCs w:val="21"/>
                <w:lang w:val="en-US" w:eastAsia="zh-CN"/>
              </w:rPr>
            </w:pPr>
            <w:r>
              <w:rPr>
                <w:rFonts w:hint="eastAsia" w:ascii="宋体" w:hAnsi="宋体" w:cs="宋体"/>
                <w:szCs w:val="21"/>
              </w:rPr>
              <w:t>测试技术与数据处理</w:t>
            </w:r>
          </w:p>
        </w:tc>
        <w:tc>
          <w:tcPr>
            <w:tcW w:w="3311" w:type="dxa"/>
            <w:vAlign w:val="center"/>
          </w:tcPr>
          <w:p w14:paraId="06101802">
            <w:pPr>
              <w:spacing w:line="360" w:lineRule="auto"/>
              <w:ind w:left="0" w:leftChars="0"/>
              <w:contextualSpacing/>
              <w:jc w:val="center"/>
              <w:rPr>
                <w:rFonts w:hint="eastAsia" w:cs="宋体" w:asciiTheme="minorEastAsia" w:hAnsiTheme="minorEastAsia"/>
                <w:sz w:val="21"/>
                <w:szCs w:val="21"/>
                <w:lang w:val="en-US" w:eastAsia="zh-CN"/>
              </w:rPr>
            </w:pPr>
            <w:r>
              <w:rPr>
                <w:rFonts w:hint="eastAsia" w:ascii="宋体" w:hAnsi="宋体" w:cs="宋体"/>
                <w:szCs w:val="21"/>
              </w:rPr>
              <w:t>空气净化原理及应用</w:t>
            </w:r>
          </w:p>
        </w:tc>
      </w:tr>
      <w:tr w14:paraId="1981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033F8A89">
            <w:pPr>
              <w:spacing w:line="360" w:lineRule="auto"/>
              <w:ind w:left="0" w:leftChars="0"/>
              <w:contextualSpacing/>
              <w:jc w:val="center"/>
              <w:rPr>
                <w:rFonts w:cs="宋体" w:asciiTheme="minorEastAsia" w:hAnsiTheme="minorEastAsia"/>
                <w:sz w:val="24"/>
              </w:rPr>
            </w:pPr>
          </w:p>
        </w:tc>
        <w:tc>
          <w:tcPr>
            <w:tcW w:w="3650" w:type="dxa"/>
            <w:vAlign w:val="center"/>
          </w:tcPr>
          <w:p w14:paraId="1DBDF5DB">
            <w:pPr>
              <w:spacing w:line="360" w:lineRule="auto"/>
              <w:ind w:left="0" w:leftChars="0"/>
              <w:contextualSpacing/>
              <w:jc w:val="center"/>
              <w:rPr>
                <w:rFonts w:hint="eastAsia" w:cs="宋体" w:asciiTheme="minorEastAsia" w:hAnsiTheme="minorEastAsia"/>
                <w:sz w:val="21"/>
                <w:szCs w:val="21"/>
                <w:lang w:val="en-US" w:eastAsia="zh-CN"/>
              </w:rPr>
            </w:pPr>
            <w:r>
              <w:rPr>
                <w:rFonts w:hint="eastAsia" w:ascii="宋体" w:hAnsi="宋体" w:cs="宋体"/>
                <w:szCs w:val="21"/>
              </w:rPr>
              <w:t>冷热源新技术</w:t>
            </w:r>
          </w:p>
        </w:tc>
        <w:tc>
          <w:tcPr>
            <w:tcW w:w="3311" w:type="dxa"/>
            <w:vAlign w:val="center"/>
          </w:tcPr>
          <w:p w14:paraId="10502F63">
            <w:pPr>
              <w:spacing w:line="360" w:lineRule="auto"/>
              <w:ind w:left="0" w:leftChars="0"/>
              <w:contextualSpacing/>
              <w:jc w:val="center"/>
              <w:rPr>
                <w:rFonts w:hint="default" w:cs="宋体" w:asciiTheme="minorEastAsia" w:hAnsiTheme="minorEastAsia"/>
                <w:sz w:val="21"/>
                <w:szCs w:val="21"/>
                <w:lang w:val="en-US" w:eastAsia="zh-CN"/>
              </w:rPr>
            </w:pPr>
            <w:r>
              <w:rPr>
                <w:rFonts w:hint="eastAsia" w:cs="宋体" w:asciiTheme="minorEastAsia" w:hAnsiTheme="minorEastAsia"/>
                <w:sz w:val="21"/>
                <w:szCs w:val="21"/>
                <w:lang w:val="en-US" w:eastAsia="zh-CN"/>
              </w:rPr>
              <w:t>建筑电气控制技术</w:t>
            </w:r>
          </w:p>
        </w:tc>
      </w:tr>
      <w:tr w14:paraId="1D09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442EF121">
            <w:pPr>
              <w:spacing w:line="360" w:lineRule="auto"/>
              <w:ind w:left="0" w:leftChars="0"/>
              <w:contextualSpacing/>
              <w:jc w:val="center"/>
              <w:rPr>
                <w:rFonts w:cs="宋体" w:asciiTheme="minorEastAsia" w:hAnsiTheme="minorEastAsia"/>
                <w:sz w:val="24"/>
              </w:rPr>
            </w:pPr>
          </w:p>
        </w:tc>
        <w:tc>
          <w:tcPr>
            <w:tcW w:w="3650" w:type="dxa"/>
            <w:vAlign w:val="center"/>
          </w:tcPr>
          <w:p w14:paraId="07A119CC">
            <w:pPr>
              <w:spacing w:line="360" w:lineRule="auto"/>
              <w:ind w:left="0" w:leftChars="0"/>
              <w:contextualSpacing/>
              <w:jc w:val="center"/>
              <w:rPr>
                <w:rFonts w:hint="eastAsia" w:ascii="宋体" w:hAnsi="宋体" w:cs="宋体"/>
                <w:szCs w:val="21"/>
              </w:rPr>
            </w:pPr>
            <w:r>
              <w:rPr>
                <w:rFonts w:hint="eastAsia" w:ascii="宋体" w:hAnsi="宋体" w:cs="宋体"/>
                <w:szCs w:val="21"/>
              </w:rPr>
              <w:t>数据采集系统与接口技术</w:t>
            </w:r>
          </w:p>
        </w:tc>
        <w:tc>
          <w:tcPr>
            <w:tcW w:w="3311" w:type="dxa"/>
            <w:vAlign w:val="center"/>
          </w:tcPr>
          <w:p w14:paraId="593273F2">
            <w:pPr>
              <w:spacing w:line="360" w:lineRule="auto"/>
              <w:ind w:left="0" w:leftChars="0"/>
              <w:contextualSpacing/>
              <w:jc w:val="center"/>
              <w:rPr>
                <w:rFonts w:hint="eastAsia" w:ascii="宋体" w:hAnsi="宋体" w:cs="宋体" w:eastAsiaTheme="minorEastAsia"/>
                <w:szCs w:val="21"/>
                <w:lang w:val="en-US" w:eastAsia="zh-CN"/>
              </w:rPr>
            </w:pPr>
            <w:r>
              <w:rPr>
                <w:rFonts w:hint="eastAsia" w:ascii="宋体" w:hAnsi="宋体" w:cs="宋体"/>
                <w:szCs w:val="21"/>
              </w:rPr>
              <w:t>供热技术及太阳能利</w:t>
            </w:r>
            <w:r>
              <w:rPr>
                <w:rFonts w:hint="eastAsia" w:ascii="宋体" w:hAnsi="宋体" w:cs="宋体"/>
                <w:szCs w:val="21"/>
                <w:lang w:val="en-US" w:eastAsia="zh-CN"/>
              </w:rPr>
              <w:t>用</w:t>
            </w:r>
          </w:p>
        </w:tc>
      </w:tr>
    </w:tbl>
    <w:p w14:paraId="3E6BB706">
      <w:pPr>
        <w:widowControl w:val="0"/>
        <w:numPr>
          <w:ilvl w:val="0"/>
          <w:numId w:val="0"/>
        </w:numPr>
        <w:spacing w:line="360" w:lineRule="auto"/>
        <w:contextualSpacing/>
        <w:jc w:val="center"/>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（注：具体以学校课程安排实际为准）</w:t>
      </w:r>
    </w:p>
    <w:p w14:paraId="4D946040">
      <w:pPr>
        <w:widowControl w:val="0"/>
        <w:numPr>
          <w:ilvl w:val="0"/>
          <w:numId w:val="0"/>
        </w:numPr>
        <w:spacing w:line="360" w:lineRule="auto"/>
        <w:contextualSpacing/>
        <w:jc w:val="both"/>
        <w:rPr>
          <w:rFonts w:hint="eastAsia" w:cs="宋体" w:asciiTheme="minorEastAsia" w:hAnsiTheme="minorEastAsia"/>
          <w:b/>
          <w:bCs/>
          <w:color w:val="000000" w:themeColor="text1"/>
          <w:sz w:val="24"/>
          <w:lang w:eastAsia="zh-CN"/>
          <w14:textFill>
            <w14:solidFill>
              <w14:schemeClr w14:val="tx1"/>
            </w14:solidFill>
          </w14:textFill>
        </w:rPr>
      </w:pPr>
    </w:p>
    <w:p w14:paraId="597479D4">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3197E266">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4A8DFFC4">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6BEB25E0">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w:t>
      </w:r>
      <w:r>
        <w:rPr>
          <w:rFonts w:hint="eastAsia" w:ascii="宋体" w:hAnsi="宋体" w:eastAsia="宋体" w:cs="宋体"/>
          <w:b w:val="0"/>
          <w:bCs w:val="0"/>
          <w:color w:val="000000" w:themeColor="text1"/>
          <w:sz w:val="24"/>
          <w:szCs w:val="24"/>
          <w14:textFill>
            <w14:solidFill>
              <w14:schemeClr w14:val="tx1"/>
            </w14:solidFill>
          </w14:textFill>
        </w:rPr>
        <w:t>仅接收相邻专业理工科学生</w:t>
      </w:r>
      <w:r>
        <w:rPr>
          <w:rFonts w:hint="eastAsia" w:cs="宋体" w:asciiTheme="minorEastAsia" w:hAnsiTheme="minorEastAsia"/>
          <w:sz w:val="24"/>
          <w:lang w:val="en-US" w:eastAsia="zh-CN"/>
        </w:rPr>
        <w:t>在申请学位的专业或相近专业做出成绩，学术水平或专业技术水平已达到所申请学位专业的毕业研究生同等水平。</w:t>
      </w:r>
    </w:p>
    <w:p w14:paraId="55D464D7">
      <w:pPr>
        <w:spacing w:line="360" w:lineRule="auto"/>
        <w:contextualSpacing/>
        <w:jc w:val="left"/>
        <w:rPr>
          <w:rFonts w:cs="宋体" w:asciiTheme="minorEastAsia" w:hAnsiTheme="minorEastAsia"/>
          <w:sz w:val="24"/>
        </w:rPr>
      </w:pPr>
    </w:p>
    <w:p w14:paraId="083C014B">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586CE205">
      <w:pPr>
        <w:pStyle w:val="4"/>
        <w:spacing w:beforeAutospacing="0" w:afterAutospacing="0" w:line="360" w:lineRule="auto"/>
        <w:ind w:firstLine="480" w:firstLineChars="200"/>
        <w:contextualSpacing/>
        <w:jc w:val="both"/>
        <w:rPr>
          <w:rFonts w:hint="eastAsia" w:cs="仿宋_GB2312" w:asciiTheme="minorEastAsia" w:hAnsiTheme="minorEastAsia" w:eastAsiaTheme="minorEastAsia"/>
          <w:color w:val="000000"/>
          <w:lang w:eastAsia="zh-CN"/>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课程学费</w:t>
      </w:r>
      <w:r>
        <w:rPr>
          <w:rFonts w:hint="eastAsia" w:cs="仿宋_GB2312" w:asciiTheme="minorEastAsia" w:hAnsiTheme="minorEastAsia"/>
          <w:color w:val="000000"/>
          <w:lang w:eastAsia="zh-CN"/>
        </w:rPr>
        <w:t>：</w:t>
      </w:r>
      <w:r>
        <w:rPr>
          <w:rFonts w:hint="eastAsia" w:cs="仿宋_GB2312" w:asciiTheme="minorEastAsia" w:hAnsiTheme="minorEastAsia"/>
          <w:color w:val="000000"/>
        </w:rPr>
        <w:t>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r>
        <w:rPr>
          <w:rFonts w:hint="eastAsia" w:cs="仿宋_GB2312" w:asciiTheme="minorEastAsia" w:hAnsiTheme="minorEastAsia"/>
          <w:color w:val="000000"/>
          <w:lang w:eastAsia="zh-CN"/>
        </w:rPr>
        <w:t>；</w:t>
      </w:r>
    </w:p>
    <w:p w14:paraId="293B068C">
      <w:pPr>
        <w:pStyle w:val="4"/>
        <w:spacing w:beforeAutospacing="0" w:afterAutospacing="0" w:line="360" w:lineRule="auto"/>
        <w:ind w:firstLine="480" w:firstLineChars="200"/>
        <w:contextualSpacing/>
        <w:jc w:val="both"/>
        <w:rPr>
          <w:rFonts w:hint="eastAsia" w:cs="仿宋_GB2312" w:asciiTheme="minorEastAsia" w:hAnsiTheme="minorEastAsia" w:eastAsiaTheme="minorEastAsia"/>
          <w:color w:val="000000"/>
          <w:lang w:eastAsia="zh-CN"/>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论文答辩费</w:t>
      </w:r>
      <w:r>
        <w:rPr>
          <w:rFonts w:hint="eastAsia" w:cs="仿宋_GB2312" w:asciiTheme="minorEastAsia" w:hAnsiTheme="minorEastAsia"/>
          <w:color w:val="000000"/>
          <w:lang w:eastAsia="zh-CN"/>
        </w:rPr>
        <w:t>：</w:t>
      </w:r>
      <w:r>
        <w:rPr>
          <w:rFonts w:hint="eastAsia" w:cs="仿宋_GB2312" w:asciiTheme="minorEastAsia" w:hAnsiTheme="minorEastAsia"/>
          <w:color w:val="000000"/>
        </w:rPr>
        <w:t>1</w:t>
      </w:r>
      <w:r>
        <w:rPr>
          <w:rFonts w:hint="eastAsia" w:cs="仿宋_GB2312" w:asciiTheme="minorEastAsia" w:hAnsiTheme="minorEastAsia"/>
          <w:color w:val="000000"/>
          <w:lang w:val="en-US" w:eastAsia="zh-CN"/>
        </w:rPr>
        <w:t>5</w:t>
      </w:r>
      <w:r>
        <w:rPr>
          <w:rFonts w:hint="eastAsia" w:cs="仿宋_GB2312" w:asciiTheme="minorEastAsia" w:hAnsiTheme="minorEastAsia"/>
          <w:color w:val="000000"/>
        </w:rPr>
        <w:t>000元</w:t>
      </w:r>
      <w:r>
        <w:rPr>
          <w:rFonts w:hint="eastAsia" w:cs="仿宋_GB2312" w:asciiTheme="minorEastAsia" w:hAnsiTheme="minorEastAsia"/>
          <w:color w:val="000000"/>
          <w:lang w:eastAsia="zh-CN"/>
        </w:rPr>
        <w:t>。</w:t>
      </w:r>
    </w:p>
    <w:p w14:paraId="4BA25F8B">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4C0488CA">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39018DF">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4C2FECDF">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08913AD3">
      <w:pPr>
        <w:spacing w:line="360" w:lineRule="auto"/>
        <w:contextualSpacing/>
        <w:jc w:val="left"/>
        <w:rPr>
          <w:rFonts w:cs="宋体" w:asciiTheme="minorEastAsia" w:hAnsiTheme="minorEastAsia"/>
          <w:sz w:val="24"/>
        </w:rPr>
      </w:pPr>
    </w:p>
    <w:p w14:paraId="57373E41">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2D5EB548">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6A3141D4">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3416134C">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536F17C7">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6A55296C">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56CE9D61">
      <w:pPr>
        <w:spacing w:line="360" w:lineRule="auto"/>
        <w:contextualSpacing/>
        <w:jc w:val="left"/>
        <w:rPr>
          <w:rFonts w:cs="宋体" w:asciiTheme="minorEastAsia" w:hAnsiTheme="minorEastAsia"/>
          <w:sz w:val="24"/>
        </w:rPr>
      </w:pPr>
    </w:p>
    <w:p w14:paraId="0CD86AA8">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68BF4342">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0A9BE713">
      <w:pPr>
        <w:spacing w:line="360" w:lineRule="auto"/>
        <w:ind w:firstLine="480" w:firstLineChars="200"/>
        <w:contextualSpacing/>
        <w:jc w:val="left"/>
        <w:rPr>
          <w:rFonts w:hint="eastAsia" w:cs="宋体" w:asciiTheme="minorEastAsia" w:hAnsiTheme="minorEastAsia"/>
          <w:sz w:val="24"/>
        </w:rPr>
      </w:pPr>
    </w:p>
    <w:p w14:paraId="60E6625C">
      <w:pPr>
        <w:jc w:val="both"/>
        <w:rPr>
          <w:rFonts w:hint="eastAsia" w:cs="宋体" w:asciiTheme="majorEastAsia" w:hAnsiTheme="majorEastAsia" w:eastAsiaTheme="majorEastAsia"/>
          <w:b/>
          <w:bCs/>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0B151">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B673357"/>
    <w:rsid w:val="162A63E6"/>
    <w:rsid w:val="1C170E68"/>
    <w:rsid w:val="1F026649"/>
    <w:rsid w:val="229A3DC4"/>
    <w:rsid w:val="2AC822FE"/>
    <w:rsid w:val="30331882"/>
    <w:rsid w:val="3BE155F6"/>
    <w:rsid w:val="3CA628B2"/>
    <w:rsid w:val="4361784D"/>
    <w:rsid w:val="4D117793"/>
    <w:rsid w:val="4EA60DAF"/>
    <w:rsid w:val="508605D9"/>
    <w:rsid w:val="56D96AA1"/>
    <w:rsid w:val="570413A4"/>
    <w:rsid w:val="5A8A1AC4"/>
    <w:rsid w:val="63BB2C1F"/>
    <w:rsid w:val="65F06CBC"/>
    <w:rsid w:val="6A4B4337"/>
    <w:rsid w:val="784202CE"/>
    <w:rsid w:val="79C12172"/>
    <w:rsid w:val="7DBF4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99"/>
    <w:pPr>
      <w:spacing w:beforeAutospacing="1" w:afterAutospacing="1"/>
      <w:jc w:val="left"/>
    </w:pPr>
    <w:rPr>
      <w:rFonts w:cs="Times New Roman"/>
      <w:kern w:val="0"/>
      <w:sz w:val="24"/>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1719</Words>
  <Characters>1741</Characters>
  <Lines>0</Lines>
  <Paragraphs>0</Paragraphs>
  <TotalTime>112</TotalTime>
  <ScaleCrop>false</ScaleCrop>
  <LinksUpToDate>false</LinksUpToDate>
  <CharactersWithSpaces>1742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2026-02-12T08:21:58Z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CC29104F2977444E83318D0325EEEE4B_13</vt:lpwstr>
  </property>
  <property fmtid="{D5CDD505-2E9C-101B-9397-08002B2CF9AE}" pid="4" name="KSOTemplateDocerSaveRecord">
    <vt:lpwstr>eyJoZGlkIjoiNGQ5ODQ5N2Q1NmI0ZDAwYTJiMTcyMmU3ZjhhMWE4NmEifQ==</vt:lpwstr>
  </property>
</Properties>
</file>