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40536">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32CEA75D">
      <w:pPr>
        <w:spacing w:line="360" w:lineRule="auto"/>
        <w:ind w:firstLine="1084" w:firstLineChars="300"/>
        <w:contextualSpacing/>
        <w:rPr>
          <w:rFonts w:hint="default"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南昌大学新闻与传播学院</w:t>
      </w:r>
      <w:r>
        <w:rPr>
          <w:rFonts w:hint="eastAsia" w:cs="宋体" w:asciiTheme="majorEastAsia" w:hAnsiTheme="majorEastAsia" w:eastAsiaTheme="majorEastAsia"/>
          <w:b/>
          <w:bCs/>
          <w:sz w:val="36"/>
          <w:szCs w:val="36"/>
          <w:lang w:val="en-US" w:eastAsia="zh-CN"/>
        </w:rPr>
        <w:t>传播学专业</w:t>
      </w:r>
    </w:p>
    <w:p w14:paraId="693DE8D7">
      <w:pPr>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4A17111E">
      <w:pPr>
        <w:jc w:val="both"/>
        <w:rPr>
          <w:rFonts w:hint="eastAsia" w:cs="宋体" w:asciiTheme="majorEastAsia" w:hAnsiTheme="majorEastAsia" w:eastAsiaTheme="majorEastAsia"/>
          <w:b/>
          <w:bCs/>
          <w:sz w:val="36"/>
          <w:szCs w:val="36"/>
        </w:rPr>
      </w:pPr>
    </w:p>
    <w:p w14:paraId="5BE67896">
      <w:pPr>
        <w:tabs>
          <w:tab w:val="left" w:pos="28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181274BC">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1F799A90">
      <w:pPr>
        <w:spacing w:line="360" w:lineRule="auto"/>
        <w:ind w:firstLine="480" w:firstLineChars="200"/>
        <w:contextualSpacing/>
        <w:jc w:val="left"/>
        <w:rPr>
          <w:rFonts w:cs="宋体" w:asciiTheme="minorEastAsia" w:hAnsiTheme="minorEastAsia"/>
          <w:sz w:val="24"/>
        </w:rPr>
      </w:pPr>
      <w:r>
        <w:rPr>
          <w:rFonts w:hint="eastAsia" w:cs="仿宋_GB2312" w:asciiTheme="minorEastAsia" w:hAnsiTheme="minorEastAsia"/>
          <w:color w:val="000000"/>
          <w:kern w:val="0"/>
          <w:sz w:val="24"/>
        </w:rPr>
        <w:t>南昌大学法学教育创办于上世纪八十年代，是江西省建立最早的法学学科。2002年法学专业被评为江西省品牌专业，2011年法学一级学科获批江西省高校十二五重点学科，2019年法学专业顺利入选教育部国家级一流本科专业建设点。2020年知识产权专业入选江西省一流本科专业建设点并自主增设知识产权法学硕士学位授予权。</w:t>
      </w:r>
    </w:p>
    <w:p w14:paraId="55BED0B1">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cs="宋体" w:asciiTheme="minorEastAsia" w:hAnsiTheme="minorEastAsia"/>
          <w:sz w:val="24"/>
        </w:rPr>
        <w:t>南昌大学新闻与传播学院历史悠久、内涵深厚、特色突出。学院前身为江西大学新闻系，创办于1958年6月，是在1949年后国内成立的第三个新闻学科办学点。现为江西唯一一所与省委宣传部“部校共建”的新闻学院。</w:t>
      </w:r>
      <w:r>
        <w:rPr>
          <w:rFonts w:hint="eastAsia" w:ascii="宋体" w:hAnsi="宋体" w:eastAsia="宋体" w:cs="宋体"/>
          <w:i w:val="0"/>
          <w:iCs w:val="0"/>
          <w:caps w:val="0"/>
          <w:color w:val="000000"/>
          <w:spacing w:val="0"/>
          <w:sz w:val="24"/>
          <w:szCs w:val="24"/>
          <w:shd w:val="clear" w:fill="FFFFFF"/>
        </w:rPr>
        <w:t>拥有新闻传播学一级学科博士点、一级学科硕士点，以及新闻与传播、出版学专业硕士点和广播电视艺术硕士点。</w:t>
      </w:r>
    </w:p>
    <w:p w14:paraId="0445212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学院新闻传播学科位列2020年《中国最好学科排名》全国第17名，进入国内新闻传播学科第一阵营。拥有省重点智库媒体融合发展研究中心、省哲学社会科学重点研究基地舆情监测与治理研究中心，主持30余项国家社科基金项目（含重大招标项目、重点项目）、中宣部特别委托项目，取得了一系列标志性研究成果，形成了多个特色与优势领域。</w:t>
      </w:r>
    </w:p>
    <w:p w14:paraId="265A0B79">
      <w:pPr>
        <w:spacing w:line="360" w:lineRule="auto"/>
        <w:ind w:firstLine="480" w:firstLineChars="200"/>
        <w:contextualSpacing/>
        <w:jc w:val="left"/>
        <w:rPr>
          <w:rFonts w:hint="eastAsia" w:cs="宋体" w:asciiTheme="minorEastAsia" w:hAnsiTheme="minorEastAsia"/>
          <w:sz w:val="24"/>
        </w:rPr>
      </w:pPr>
      <w:r>
        <w:rPr>
          <w:rFonts w:hint="eastAsia" w:ascii="宋体" w:hAnsi="宋体" w:eastAsia="宋体" w:cs="宋体"/>
          <w:i w:val="0"/>
          <w:iCs w:val="0"/>
          <w:caps w:val="0"/>
          <w:color w:val="000000"/>
          <w:spacing w:val="0"/>
          <w:sz w:val="24"/>
          <w:szCs w:val="24"/>
          <w:shd w:val="clear" w:fill="FFFFFF"/>
        </w:rPr>
        <w:t>为适应改革开放和</w:t>
      </w:r>
      <w:r>
        <w:rPr>
          <w:rFonts w:hint="eastAsia" w:ascii="宋体" w:hAnsi="宋体" w:eastAsia="宋体" w:cs="宋体"/>
          <w:i w:val="0"/>
          <w:iCs w:val="0"/>
          <w:caps w:val="0"/>
          <w:color w:val="000000"/>
          <w:spacing w:val="0"/>
          <w:sz w:val="24"/>
          <w:szCs w:val="24"/>
          <w:shd w:val="clear" w:fill="FFFFFF"/>
          <w:lang w:val="en-US" w:eastAsia="zh-CN"/>
        </w:rPr>
        <w:t>全国</w:t>
      </w:r>
      <w:r>
        <w:rPr>
          <w:rFonts w:hint="eastAsia" w:ascii="宋体" w:hAnsi="宋体" w:eastAsia="宋体" w:cs="宋体"/>
          <w:i w:val="0"/>
          <w:iCs w:val="0"/>
          <w:caps w:val="0"/>
          <w:color w:val="000000"/>
          <w:spacing w:val="0"/>
          <w:sz w:val="24"/>
          <w:szCs w:val="24"/>
          <w:shd w:val="clear" w:fill="FFFFFF"/>
        </w:rPr>
        <w:t>经济发展需要，满足社会对</w:t>
      </w:r>
      <w:r>
        <w:rPr>
          <w:rFonts w:hint="eastAsia" w:ascii="宋体" w:hAnsi="宋体" w:eastAsia="宋体" w:cs="宋体"/>
          <w:i w:val="0"/>
          <w:iCs w:val="0"/>
          <w:caps w:val="0"/>
          <w:color w:val="000000"/>
          <w:spacing w:val="0"/>
          <w:sz w:val="24"/>
          <w:szCs w:val="24"/>
          <w:shd w:val="clear" w:fill="FFFFFF"/>
          <w:lang w:val="en-US" w:eastAsia="zh-CN"/>
        </w:rPr>
        <w:t>新闻传播领域高层</w:t>
      </w:r>
      <w:r>
        <w:rPr>
          <w:rFonts w:hint="eastAsia" w:ascii="宋体" w:hAnsi="宋体" w:eastAsia="宋体" w:cs="宋体"/>
          <w:i w:val="0"/>
          <w:iCs w:val="0"/>
          <w:caps w:val="0"/>
          <w:color w:val="000000"/>
          <w:spacing w:val="0"/>
          <w:sz w:val="24"/>
          <w:szCs w:val="24"/>
          <w:shd w:val="clear" w:fill="FFFFFF"/>
        </w:rPr>
        <w:t>次人才的需求，南昌大学</w:t>
      </w:r>
      <w:r>
        <w:rPr>
          <w:rFonts w:hint="eastAsia" w:ascii="宋体" w:hAnsi="宋体" w:eastAsia="宋体" w:cs="宋体"/>
          <w:i w:val="0"/>
          <w:iCs w:val="0"/>
          <w:caps w:val="0"/>
          <w:color w:val="000000"/>
          <w:spacing w:val="0"/>
          <w:sz w:val="24"/>
          <w:szCs w:val="24"/>
          <w:shd w:val="clear" w:fill="FFFFFF"/>
          <w:lang w:val="en-US" w:eastAsia="zh-CN"/>
        </w:rPr>
        <w:t>新闻与传播学院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决定面向全国开设传播学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6ECB2C82">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5B5E28FC">
      <w:pPr>
        <w:widowControl w:val="0"/>
        <w:numPr>
          <w:ilvl w:val="0"/>
          <w:numId w:val="0"/>
        </w:numPr>
        <w:spacing w:line="360" w:lineRule="auto"/>
        <w:ind w:firstLine="480" w:firstLineChars="200"/>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val="0"/>
          <w:bCs w:val="0"/>
          <w:color w:val="000000" w:themeColor="text1"/>
          <w:sz w:val="24"/>
          <w:lang w:val="en-US" w:eastAsia="zh-CN"/>
          <w14:textFill>
            <w14:solidFill>
              <w14:schemeClr w14:val="tx1"/>
            </w14:solidFill>
          </w14:textFill>
        </w:rPr>
        <w:t>本专业通过学习</w:t>
      </w:r>
      <w:r>
        <w:rPr>
          <w:rFonts w:hint="eastAsia" w:ascii="宋体" w:hAnsi="宋体" w:eastAsia="宋体" w:cs="宋体"/>
          <w:i w:val="0"/>
          <w:iCs w:val="0"/>
          <w:caps w:val="0"/>
          <w:color w:val="000000"/>
          <w:spacing w:val="0"/>
          <w:sz w:val="24"/>
          <w:szCs w:val="24"/>
          <w:shd w:val="clear" w:fill="FFFFFF"/>
        </w:rPr>
        <w:t>新闻传播理论基础和系统的新闻传播学专业知识，熟悉各方向的研究历史和现状，了解其发展趋势</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熟悉各种媒介的特性和功能，具有一定的新闻实践经验</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掌握一门外语能熟练地运用网络检索方法和具有处理有关信息的能力</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培养政治立场坚定，理论功底扎实，具备较高的人文素养和科学精神，具有较强的科研能力和创新能力，具有家国情怀与全球视野的高层次新闻传播人才。</w:t>
      </w:r>
    </w:p>
    <w:p w14:paraId="3DDA95AA">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655187BE">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p>
    <w:p w14:paraId="0E4201F7">
      <w:pPr>
        <w:spacing w:line="360" w:lineRule="auto"/>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优势</w:t>
      </w:r>
      <w:r>
        <w:rPr>
          <w:rFonts w:hint="eastAsia" w:cs="宋体" w:asciiTheme="minorEastAsia" w:hAnsiTheme="minorEastAsia"/>
          <w:sz w:val="24"/>
        </w:rPr>
        <w:t>学科】</w:t>
      </w:r>
      <w:r>
        <w:rPr>
          <w:rFonts w:hint="eastAsia" w:ascii="宋体" w:hAnsi="宋体" w:eastAsia="宋体" w:cs="宋体"/>
          <w:i w:val="0"/>
          <w:iCs w:val="0"/>
          <w:caps w:val="0"/>
          <w:color w:val="000000"/>
          <w:spacing w:val="0"/>
          <w:sz w:val="24"/>
          <w:szCs w:val="24"/>
          <w:shd w:val="clear" w:fill="FFFFFF"/>
        </w:rPr>
        <w:t>新闻传播学科位列2020年《中国最好学科排名》全国第17名，进入国内新闻传播学科第一阵营</w:t>
      </w:r>
      <w:r>
        <w:rPr>
          <w:rFonts w:hint="eastAsia" w:cs="宋体" w:asciiTheme="minorEastAsia" w:hAnsiTheme="minorEastAsia"/>
          <w:sz w:val="24"/>
          <w:lang w:val="en-US" w:eastAsia="zh-CN"/>
        </w:rPr>
        <w:t>；</w:t>
      </w:r>
    </w:p>
    <w:p w14:paraId="722373E4">
      <w:pPr>
        <w:spacing w:line="360" w:lineRule="auto"/>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先学习课程再参加全国统考</w:t>
      </w:r>
      <w:r>
        <w:rPr>
          <w:rFonts w:cs="宋体" w:asciiTheme="minorEastAsia" w:hAnsiTheme="minorEastAsia"/>
          <w:sz w:val="24"/>
        </w:rPr>
        <w:t>；</w:t>
      </w:r>
    </w:p>
    <w:p w14:paraId="4AAEBC16">
      <w:pPr>
        <w:spacing w:line="360" w:lineRule="auto"/>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2</w:t>
      </w:r>
      <w:r>
        <w:rPr>
          <w:rFonts w:hint="eastAsia" w:cs="宋体" w:asciiTheme="minorEastAsia" w:hAnsiTheme="minorEastAsia"/>
          <w:sz w:val="24"/>
        </w:rPr>
        <w:t>科】满足条件的学员可申请申硕考试，仅考</w:t>
      </w:r>
      <w:r>
        <w:rPr>
          <w:rFonts w:hint="eastAsia" w:cs="宋体" w:asciiTheme="minorEastAsia" w:hAnsiTheme="minorEastAsia"/>
          <w:sz w:val="24"/>
          <w:lang w:val="en-US" w:eastAsia="zh-CN"/>
        </w:rPr>
        <w:t>新闻传播学和</w:t>
      </w:r>
      <w:r>
        <w:rPr>
          <w:rFonts w:hint="eastAsia" w:cs="宋体" w:asciiTheme="minorEastAsia" w:hAnsiTheme="minorEastAsia"/>
          <w:sz w:val="24"/>
        </w:rPr>
        <w:t>外语</w:t>
      </w:r>
      <w:r>
        <w:rPr>
          <w:rFonts w:hint="eastAsia" w:cs="宋体" w:asciiTheme="minorEastAsia" w:hAnsiTheme="minorEastAsia"/>
          <w:sz w:val="24"/>
          <w:lang w:val="en-US" w:eastAsia="zh-CN"/>
        </w:rPr>
        <w:t>2</w:t>
      </w:r>
      <w:r>
        <w:rPr>
          <w:rFonts w:hint="eastAsia" w:cs="宋体" w:asciiTheme="minorEastAsia" w:hAnsiTheme="minorEastAsia"/>
          <w:sz w:val="24"/>
        </w:rPr>
        <w:t>科，百分制60分合格，难度较低；</w:t>
      </w:r>
    </w:p>
    <w:p w14:paraId="751885D3">
      <w:pPr>
        <w:spacing w:line="360" w:lineRule="auto"/>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次申硕考试机会，大大提升申硕通过率；</w:t>
      </w:r>
    </w:p>
    <w:p w14:paraId="5CE808A8">
      <w:pPr>
        <w:spacing w:line="360" w:lineRule="auto"/>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1115CDD2">
      <w:pPr>
        <w:spacing w:line="360" w:lineRule="auto"/>
        <w:contextualSpacing/>
        <w:jc w:val="left"/>
        <w:rPr>
          <w:rFonts w:hint="eastAsia"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3125149C">
      <w:pPr>
        <w:spacing w:line="360" w:lineRule="auto"/>
        <w:contextualSpacing/>
        <w:jc w:val="left"/>
        <w:rPr>
          <w:rFonts w:hint="eastAsia" w:cs="宋体" w:asciiTheme="minorEastAsia" w:hAnsiTheme="minorEastAsia"/>
          <w:sz w:val="24"/>
          <w:lang w:val="en-US" w:eastAsia="zh-CN"/>
        </w:rPr>
      </w:pPr>
    </w:p>
    <w:p w14:paraId="58AFDA0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3650"/>
        <w:gridCol w:w="3311"/>
      </w:tblGrid>
      <w:tr w14:paraId="7279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3051A6C5">
            <w:pPr>
              <w:spacing w:line="360" w:lineRule="auto"/>
              <w:contextualSpacing/>
              <w:jc w:val="center"/>
              <w:rPr>
                <w:rFonts w:cs="宋体" w:asciiTheme="minorEastAsia" w:hAnsiTheme="minorEastAsia"/>
                <w:b/>
                <w:sz w:val="24"/>
              </w:rPr>
            </w:pPr>
            <w:r>
              <w:rPr>
                <w:rFonts w:hint="eastAsia" w:cs="宋体" w:asciiTheme="minorEastAsia" w:hAnsiTheme="minorEastAsia"/>
                <w:b/>
                <w:sz w:val="24"/>
                <w:lang w:val="en-US" w:eastAsia="zh-CN"/>
              </w:rPr>
              <w:t>传播学</w:t>
            </w:r>
            <w:r>
              <w:rPr>
                <w:rFonts w:hint="eastAsia" w:cs="宋体" w:asciiTheme="minorEastAsia" w:hAnsiTheme="minorEastAsia"/>
                <w:b/>
                <w:sz w:val="24"/>
              </w:rPr>
              <w:t>专业课程设置</w:t>
            </w:r>
          </w:p>
        </w:tc>
      </w:tr>
      <w:tr w14:paraId="6E3B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71E90546">
            <w:pPr>
              <w:spacing w:line="360" w:lineRule="auto"/>
              <w:contextualSpacing/>
              <w:jc w:val="center"/>
              <w:rPr>
                <w:rFonts w:cs="宋体" w:asciiTheme="minorEastAsia" w:hAnsiTheme="minorEastAsia"/>
                <w:sz w:val="24"/>
              </w:rPr>
            </w:pPr>
            <w:r>
              <w:rPr>
                <w:rFonts w:hint="eastAsia" w:cs="宋体" w:asciiTheme="minorEastAsia" w:hAnsiTheme="minorEastAsia"/>
                <w:sz w:val="24"/>
              </w:rPr>
              <w:t>公共课</w:t>
            </w:r>
          </w:p>
        </w:tc>
        <w:tc>
          <w:tcPr>
            <w:tcW w:w="3650" w:type="dxa"/>
          </w:tcPr>
          <w:p w14:paraId="4FB72A20">
            <w:pPr>
              <w:spacing w:line="360" w:lineRule="auto"/>
              <w:contextualSpacing/>
              <w:jc w:val="center"/>
              <w:rPr>
                <w:rFonts w:hint="default" w:cs="宋体" w:asciiTheme="minorEastAsia" w:hAnsiTheme="minorEastAsia" w:eastAsiaTheme="minorEastAsia"/>
                <w:sz w:val="24"/>
                <w:lang w:val="en-US" w:eastAsia="zh-CN"/>
              </w:rPr>
            </w:pPr>
            <w:r>
              <w:rPr>
                <w:rFonts w:hint="eastAsia" w:cs="宋体" w:asciiTheme="minorEastAsia" w:hAnsiTheme="minorEastAsia"/>
                <w:sz w:val="21"/>
                <w:szCs w:val="21"/>
                <w:lang w:val="en-US" w:eastAsia="zh-CN"/>
              </w:rPr>
              <w:t>新时代中国特色社会主义理论与实践</w:t>
            </w:r>
          </w:p>
        </w:tc>
        <w:tc>
          <w:tcPr>
            <w:tcW w:w="3311" w:type="dxa"/>
          </w:tcPr>
          <w:p w14:paraId="5FC90A9C">
            <w:pPr>
              <w:spacing w:line="360" w:lineRule="auto"/>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自然辩证法</w:t>
            </w:r>
          </w:p>
        </w:tc>
      </w:tr>
      <w:tr w14:paraId="5532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tcPr>
          <w:p w14:paraId="420837A6">
            <w:pPr>
              <w:spacing w:line="360" w:lineRule="auto"/>
              <w:contextualSpacing/>
              <w:jc w:val="center"/>
              <w:rPr>
                <w:rFonts w:cs="宋体" w:asciiTheme="minorEastAsia" w:hAnsiTheme="minorEastAsia"/>
                <w:sz w:val="24"/>
              </w:rPr>
            </w:pPr>
          </w:p>
        </w:tc>
        <w:tc>
          <w:tcPr>
            <w:tcW w:w="3650" w:type="dxa"/>
          </w:tcPr>
          <w:p w14:paraId="391C05BD">
            <w:pPr>
              <w:spacing w:line="360" w:lineRule="auto"/>
              <w:contextualSpacing/>
              <w:jc w:val="both"/>
              <w:rPr>
                <w:rFonts w:hint="default" w:cs="宋体" w:asciiTheme="minorEastAsia" w:hAnsiTheme="minorEastAsia" w:eastAsiaTheme="minorEastAsia"/>
                <w:sz w:val="21"/>
                <w:szCs w:val="21"/>
                <w:lang w:val="en-US" w:eastAsia="zh-CN"/>
              </w:rPr>
            </w:pPr>
            <w:r>
              <w:rPr>
                <w:rFonts w:hint="eastAsia" w:cs="宋体" w:asciiTheme="minorEastAsia" w:hAnsiTheme="minorEastAsia"/>
                <w:sz w:val="21"/>
                <w:szCs w:val="21"/>
                <w:lang w:val="en-US" w:eastAsia="zh-CN"/>
              </w:rPr>
              <w:t>马克思主义与社会科学方法论</w:t>
            </w:r>
          </w:p>
        </w:tc>
        <w:tc>
          <w:tcPr>
            <w:tcW w:w="3311" w:type="dxa"/>
          </w:tcPr>
          <w:p w14:paraId="45495DC1">
            <w:pPr>
              <w:spacing w:line="360" w:lineRule="auto"/>
              <w:contextualSpacing/>
              <w:jc w:val="center"/>
              <w:rPr>
                <w:rFonts w:hint="default" w:cs="宋体" w:asciiTheme="minorEastAsia" w:hAnsiTheme="minorEastAsia"/>
                <w:sz w:val="21"/>
                <w:szCs w:val="21"/>
                <w:lang w:val="en-US" w:eastAsia="zh-CN"/>
              </w:rPr>
            </w:pPr>
            <w:r>
              <w:rPr>
                <w:rFonts w:hint="eastAsia" w:cs="宋体" w:asciiTheme="minorEastAsia" w:hAnsiTheme="minorEastAsia"/>
                <w:sz w:val="21"/>
                <w:szCs w:val="21"/>
                <w:lang w:val="en-US" w:eastAsia="zh-CN"/>
              </w:rPr>
              <w:t>英语</w:t>
            </w:r>
          </w:p>
        </w:tc>
      </w:tr>
      <w:tr w14:paraId="2BA8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0D056E17">
            <w:pPr>
              <w:spacing w:line="360" w:lineRule="auto"/>
              <w:contextualSpacing/>
              <w:jc w:val="center"/>
              <w:rPr>
                <w:rFonts w:cs="宋体" w:asciiTheme="minorEastAsia" w:hAnsiTheme="minorEastAsia"/>
                <w:sz w:val="24"/>
              </w:rPr>
            </w:pPr>
            <w:r>
              <w:rPr>
                <w:rFonts w:hint="eastAsia" w:cs="宋体" w:asciiTheme="minorEastAsia" w:hAnsiTheme="minorEastAsia"/>
                <w:sz w:val="24"/>
                <w:lang w:val="en-US" w:eastAsia="zh-CN"/>
              </w:rPr>
              <w:t>基础</w:t>
            </w:r>
            <w:r>
              <w:rPr>
                <w:rFonts w:hint="eastAsia" w:cs="宋体" w:asciiTheme="minorEastAsia" w:hAnsiTheme="minorEastAsia"/>
                <w:sz w:val="24"/>
              </w:rPr>
              <w:t>课</w:t>
            </w:r>
          </w:p>
        </w:tc>
        <w:tc>
          <w:tcPr>
            <w:tcW w:w="3650" w:type="dxa"/>
          </w:tcPr>
          <w:p w14:paraId="1296B573">
            <w:pPr>
              <w:spacing w:line="360" w:lineRule="auto"/>
              <w:contextualSpacing/>
              <w:jc w:val="center"/>
              <w:rPr>
                <w:rFonts w:hint="default" w:cs="宋体" w:asciiTheme="minorEastAsia" w:hAnsiTheme="minorEastAsia" w:eastAsiaTheme="minorEastAsia"/>
                <w:sz w:val="21"/>
                <w:szCs w:val="21"/>
                <w:lang w:val="en-US" w:eastAsia="zh-CN"/>
              </w:rPr>
            </w:pPr>
            <w:r>
              <w:rPr>
                <w:rFonts w:hint="eastAsia" w:cs="宋体" w:asciiTheme="minorEastAsia" w:hAnsiTheme="minorEastAsia"/>
                <w:sz w:val="21"/>
                <w:szCs w:val="21"/>
                <w:lang w:val="en-US" w:eastAsia="zh-CN"/>
              </w:rPr>
              <w:t>新闻传播学研究原理</w:t>
            </w:r>
          </w:p>
        </w:tc>
        <w:tc>
          <w:tcPr>
            <w:tcW w:w="3311" w:type="dxa"/>
          </w:tcPr>
          <w:p w14:paraId="2F8A6E40">
            <w:pPr>
              <w:spacing w:line="360" w:lineRule="auto"/>
              <w:contextualSpacing/>
              <w:jc w:val="center"/>
              <w:rPr>
                <w:rFonts w:hint="default" w:cs="宋体" w:asciiTheme="minorEastAsia" w:hAnsiTheme="minorEastAsia"/>
                <w:sz w:val="21"/>
                <w:szCs w:val="21"/>
                <w:lang w:val="en-US" w:eastAsia="zh-CN"/>
              </w:rPr>
            </w:pPr>
            <w:r>
              <w:rPr>
                <w:rFonts w:hint="default" w:cs="宋体" w:asciiTheme="minorEastAsia" w:hAnsiTheme="minorEastAsia"/>
                <w:sz w:val="21"/>
                <w:szCs w:val="21"/>
                <w:lang w:val="en-US" w:eastAsia="zh-CN"/>
              </w:rPr>
              <w:t>网络传播研究</w:t>
            </w:r>
          </w:p>
        </w:tc>
      </w:tr>
      <w:tr w14:paraId="728A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tcPr>
          <w:p w14:paraId="476824FF">
            <w:pPr>
              <w:spacing w:line="360" w:lineRule="auto"/>
              <w:contextualSpacing/>
              <w:jc w:val="center"/>
              <w:rPr>
                <w:rFonts w:cs="宋体" w:asciiTheme="minorEastAsia" w:hAnsiTheme="minorEastAsia"/>
                <w:sz w:val="24"/>
              </w:rPr>
            </w:pPr>
          </w:p>
        </w:tc>
        <w:tc>
          <w:tcPr>
            <w:tcW w:w="3650" w:type="dxa"/>
          </w:tcPr>
          <w:p w14:paraId="7341FBBE">
            <w:pPr>
              <w:spacing w:line="360" w:lineRule="auto"/>
              <w:contextualSpacing/>
              <w:jc w:val="center"/>
              <w:rPr>
                <w:rFonts w:cs="宋体" w:asciiTheme="minorEastAsia" w:hAnsiTheme="minorEastAsia"/>
                <w:sz w:val="21"/>
                <w:szCs w:val="21"/>
              </w:rPr>
            </w:pPr>
            <w:r>
              <w:rPr>
                <w:rFonts w:hint="eastAsia" w:cs="宋体" w:asciiTheme="minorEastAsia" w:hAnsiTheme="minorEastAsia"/>
                <w:sz w:val="21"/>
                <w:szCs w:val="21"/>
                <w:lang w:val="en-US" w:eastAsia="zh-CN"/>
              </w:rPr>
              <w:t>传播</w:t>
            </w:r>
            <w:r>
              <w:rPr>
                <w:rFonts w:cs="宋体" w:asciiTheme="minorEastAsia" w:hAnsiTheme="minorEastAsia"/>
                <w:sz w:val="21"/>
                <w:szCs w:val="21"/>
              </w:rPr>
              <w:t>学概论</w:t>
            </w:r>
          </w:p>
        </w:tc>
        <w:tc>
          <w:tcPr>
            <w:tcW w:w="3311" w:type="dxa"/>
          </w:tcPr>
          <w:p w14:paraId="2014CB69">
            <w:pPr>
              <w:spacing w:line="360" w:lineRule="auto"/>
              <w:contextualSpacing/>
              <w:jc w:val="center"/>
              <w:rPr>
                <w:rFonts w:hint="default" w:cs="宋体" w:asciiTheme="minorEastAsia" w:hAnsiTheme="minorEastAsia"/>
                <w:sz w:val="21"/>
                <w:szCs w:val="21"/>
                <w:lang w:val="en-US" w:eastAsia="zh-CN"/>
              </w:rPr>
            </w:pPr>
            <w:r>
              <w:rPr>
                <w:rFonts w:hint="default" w:cs="宋体" w:asciiTheme="minorEastAsia" w:hAnsiTheme="minorEastAsia"/>
                <w:sz w:val="21"/>
                <w:szCs w:val="21"/>
                <w:lang w:val="en-US" w:eastAsia="zh-CN"/>
              </w:rPr>
              <w:t>传播理论</w:t>
            </w:r>
          </w:p>
        </w:tc>
      </w:tr>
      <w:tr w14:paraId="03F2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tcPr>
          <w:p w14:paraId="5C384591">
            <w:pPr>
              <w:spacing w:line="360" w:lineRule="auto"/>
              <w:contextualSpacing/>
              <w:jc w:val="center"/>
              <w:rPr>
                <w:rFonts w:cs="宋体" w:asciiTheme="minorEastAsia" w:hAnsiTheme="minorEastAsia"/>
                <w:sz w:val="24"/>
              </w:rPr>
            </w:pPr>
          </w:p>
          <w:p w14:paraId="40A5C54D">
            <w:pPr>
              <w:spacing w:line="360" w:lineRule="auto"/>
              <w:contextualSpacing/>
              <w:jc w:val="center"/>
              <w:rPr>
                <w:rFonts w:cs="宋体" w:asciiTheme="minorEastAsia" w:hAnsiTheme="minorEastAsia"/>
                <w:sz w:val="24"/>
              </w:rPr>
            </w:pPr>
          </w:p>
          <w:p w14:paraId="7892812C">
            <w:pPr>
              <w:spacing w:line="360" w:lineRule="auto"/>
              <w:contextualSpacing/>
              <w:jc w:val="center"/>
              <w:rPr>
                <w:rFonts w:hint="default" w:cs="宋体" w:asciiTheme="minorEastAsia" w:hAnsiTheme="minorEastAsia" w:eastAsiaTheme="minorEastAsia"/>
                <w:sz w:val="24"/>
                <w:lang w:val="en-US" w:eastAsia="zh-CN"/>
              </w:rPr>
            </w:pPr>
            <w:r>
              <w:rPr>
                <w:rFonts w:hint="eastAsia" w:cs="宋体" w:asciiTheme="minorEastAsia" w:hAnsiTheme="minorEastAsia"/>
                <w:sz w:val="24"/>
                <w:lang w:val="en-US" w:eastAsia="zh-CN"/>
              </w:rPr>
              <w:t>专业课</w:t>
            </w:r>
          </w:p>
        </w:tc>
        <w:tc>
          <w:tcPr>
            <w:tcW w:w="3650" w:type="dxa"/>
          </w:tcPr>
          <w:p w14:paraId="562CA6AF">
            <w:pPr>
              <w:spacing w:line="360" w:lineRule="auto"/>
              <w:contextualSpacing/>
              <w:jc w:val="center"/>
              <w:rPr>
                <w:rFonts w:cs="宋体" w:asciiTheme="minorEastAsia" w:hAnsiTheme="minorEastAsia"/>
                <w:sz w:val="21"/>
                <w:szCs w:val="21"/>
              </w:rPr>
            </w:pPr>
            <w:r>
              <w:rPr>
                <w:rFonts w:cs="宋体" w:asciiTheme="minorEastAsia" w:hAnsiTheme="minorEastAsia"/>
                <w:sz w:val="21"/>
                <w:szCs w:val="21"/>
              </w:rPr>
              <w:t>广告传播理论</w:t>
            </w:r>
          </w:p>
        </w:tc>
        <w:tc>
          <w:tcPr>
            <w:tcW w:w="3311" w:type="dxa"/>
          </w:tcPr>
          <w:p w14:paraId="406A6D4F">
            <w:pPr>
              <w:spacing w:line="360" w:lineRule="auto"/>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媒介管理学</w:t>
            </w:r>
          </w:p>
        </w:tc>
      </w:tr>
      <w:tr w14:paraId="378A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tcPr>
          <w:p w14:paraId="21B063D0">
            <w:pPr>
              <w:spacing w:line="360" w:lineRule="auto"/>
              <w:contextualSpacing/>
              <w:jc w:val="center"/>
              <w:rPr>
                <w:rFonts w:cs="宋体" w:asciiTheme="minorEastAsia" w:hAnsiTheme="minorEastAsia"/>
                <w:sz w:val="24"/>
              </w:rPr>
            </w:pPr>
          </w:p>
        </w:tc>
        <w:tc>
          <w:tcPr>
            <w:tcW w:w="3650" w:type="dxa"/>
          </w:tcPr>
          <w:p w14:paraId="25380C2A">
            <w:pPr>
              <w:spacing w:line="360" w:lineRule="auto"/>
              <w:contextualSpacing/>
              <w:jc w:val="center"/>
              <w:rPr>
                <w:rFonts w:cs="宋体" w:asciiTheme="minorEastAsia" w:hAnsiTheme="minorEastAsia"/>
                <w:sz w:val="21"/>
                <w:szCs w:val="21"/>
              </w:rPr>
            </w:pPr>
            <w:r>
              <w:rPr>
                <w:rFonts w:cs="宋体" w:asciiTheme="minorEastAsia" w:hAnsiTheme="minorEastAsia"/>
                <w:sz w:val="21"/>
                <w:szCs w:val="21"/>
              </w:rPr>
              <w:t>传媒法与新闻伦理</w:t>
            </w:r>
          </w:p>
        </w:tc>
        <w:tc>
          <w:tcPr>
            <w:tcW w:w="3311" w:type="dxa"/>
          </w:tcPr>
          <w:p w14:paraId="6714A036">
            <w:pPr>
              <w:spacing w:line="360" w:lineRule="auto"/>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广播电视新闻</w:t>
            </w:r>
          </w:p>
        </w:tc>
      </w:tr>
      <w:tr w14:paraId="466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tcPr>
          <w:p w14:paraId="5452032E">
            <w:pPr>
              <w:spacing w:line="360" w:lineRule="auto"/>
              <w:contextualSpacing/>
              <w:jc w:val="center"/>
              <w:rPr>
                <w:rFonts w:cs="宋体" w:asciiTheme="minorEastAsia" w:hAnsiTheme="minorEastAsia"/>
                <w:sz w:val="24"/>
              </w:rPr>
            </w:pPr>
          </w:p>
        </w:tc>
        <w:tc>
          <w:tcPr>
            <w:tcW w:w="3650" w:type="dxa"/>
          </w:tcPr>
          <w:p w14:paraId="33D662A3">
            <w:pPr>
              <w:spacing w:line="360" w:lineRule="auto"/>
              <w:contextualSpacing/>
              <w:jc w:val="center"/>
              <w:rPr>
                <w:rFonts w:cs="宋体" w:asciiTheme="minorEastAsia" w:hAnsiTheme="minorEastAsia"/>
                <w:sz w:val="21"/>
                <w:szCs w:val="21"/>
              </w:rPr>
            </w:pPr>
            <w:r>
              <w:rPr>
                <w:rFonts w:cs="宋体" w:asciiTheme="minorEastAsia" w:hAnsiTheme="minorEastAsia"/>
                <w:sz w:val="21"/>
                <w:szCs w:val="21"/>
              </w:rPr>
              <w:t>新闻评论研究</w:t>
            </w:r>
          </w:p>
        </w:tc>
        <w:tc>
          <w:tcPr>
            <w:tcW w:w="3311" w:type="dxa"/>
          </w:tcPr>
          <w:p w14:paraId="3B5CE899">
            <w:pPr>
              <w:spacing w:line="360" w:lineRule="auto"/>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世界新闻传播史与现状研究</w:t>
            </w:r>
          </w:p>
        </w:tc>
      </w:tr>
      <w:tr w14:paraId="0AFE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tcPr>
          <w:p w14:paraId="56B818B6">
            <w:pPr>
              <w:spacing w:line="360" w:lineRule="auto"/>
              <w:contextualSpacing/>
              <w:jc w:val="center"/>
              <w:rPr>
                <w:rFonts w:cs="宋体" w:asciiTheme="minorEastAsia" w:hAnsiTheme="minorEastAsia"/>
                <w:sz w:val="24"/>
              </w:rPr>
            </w:pPr>
          </w:p>
        </w:tc>
        <w:tc>
          <w:tcPr>
            <w:tcW w:w="3650" w:type="dxa"/>
          </w:tcPr>
          <w:p w14:paraId="48587970">
            <w:pPr>
              <w:spacing w:line="360" w:lineRule="auto"/>
              <w:contextualSpacing/>
              <w:jc w:val="center"/>
              <w:rPr>
                <w:rFonts w:hint="default" w:cs="宋体" w:asciiTheme="minorEastAsia" w:hAnsiTheme="minorEastAsia" w:eastAsiaTheme="minorEastAsia"/>
                <w:sz w:val="21"/>
                <w:szCs w:val="21"/>
                <w:lang w:val="en-US" w:eastAsia="zh-CN"/>
              </w:rPr>
            </w:pPr>
            <w:r>
              <w:rPr>
                <w:rFonts w:hint="default" w:cs="宋体" w:asciiTheme="minorEastAsia" w:hAnsiTheme="minorEastAsia" w:eastAsiaTheme="minorEastAsia"/>
                <w:sz w:val="21"/>
                <w:szCs w:val="21"/>
                <w:lang w:val="en-US" w:eastAsia="zh-CN"/>
              </w:rPr>
              <w:t>新闻传播实务</w:t>
            </w:r>
          </w:p>
        </w:tc>
        <w:tc>
          <w:tcPr>
            <w:tcW w:w="3311" w:type="dxa"/>
          </w:tcPr>
          <w:p w14:paraId="4A32D5A6">
            <w:pPr>
              <w:spacing w:line="360" w:lineRule="auto"/>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新闻采访与写作</w:t>
            </w:r>
          </w:p>
        </w:tc>
      </w:tr>
    </w:tbl>
    <w:p w14:paraId="519BD0DE">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4"/>
          <w:lang w:val="en-US" w:eastAsia="zh-CN"/>
          <w14:textFill>
            <w14:solidFill>
              <w14:schemeClr w14:val="tx1"/>
            </w14:solidFill>
          </w14:textFill>
        </w:rPr>
      </w:pPr>
      <w:r>
        <w:rPr>
          <w:rFonts w:hint="eastAsia" w:cs="宋体" w:asciiTheme="minorEastAsia" w:hAnsiTheme="minorEastAsia"/>
          <w:b w:val="0"/>
          <w:bCs w:val="0"/>
          <w:color w:val="000000" w:themeColor="text1"/>
          <w:sz w:val="24"/>
          <w:lang w:val="en-US" w:eastAsia="zh-CN"/>
          <w14:textFill>
            <w14:solidFill>
              <w14:schemeClr w14:val="tx1"/>
            </w14:solidFill>
          </w14:textFill>
        </w:rPr>
        <w:t>（注：具体以学校课程安排实际为准）</w:t>
      </w:r>
    </w:p>
    <w:p w14:paraId="1A0BCCCB">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75F819D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w:t>
      </w:r>
      <w:r>
        <w:rPr>
          <w:rFonts w:hint="eastAsia" w:cs="宋体" w:asciiTheme="minorEastAsia" w:hAnsiTheme="minorEastAsia"/>
          <w:b/>
          <w:bCs/>
          <w:color w:val="000000" w:themeColor="text1"/>
          <w:sz w:val="24"/>
          <w14:textFill>
            <w14:solidFill>
              <w14:schemeClr w14:val="tx1"/>
            </w14:solidFill>
          </w14:textFill>
        </w:rPr>
        <w:t>招生条件</w:t>
      </w:r>
      <w:r>
        <w:rPr>
          <w:rFonts w:hint="eastAsia" w:cs="宋体" w:asciiTheme="minorEastAsia" w:hAnsiTheme="minorEastAsia"/>
          <w:b/>
          <w:bCs/>
          <w:color w:val="000000" w:themeColor="text1"/>
          <w:sz w:val="24"/>
          <w:lang w:eastAsia="zh-CN"/>
          <w14:textFill>
            <w14:solidFill>
              <w14:schemeClr w14:val="tx1"/>
            </w14:solidFill>
          </w14:textFill>
        </w:rPr>
        <w:t>：</w:t>
      </w:r>
    </w:p>
    <w:p w14:paraId="64DE5D9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62457CE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5C6434D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2BB30B8F">
      <w:pPr>
        <w:spacing w:line="360" w:lineRule="auto"/>
        <w:contextualSpacing/>
        <w:jc w:val="left"/>
        <w:rPr>
          <w:rFonts w:cs="宋体" w:asciiTheme="minorEastAsia" w:hAnsiTheme="minorEastAsia"/>
          <w:sz w:val="24"/>
        </w:rPr>
      </w:pPr>
    </w:p>
    <w:p w14:paraId="72ABA691">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65274161">
      <w:pPr>
        <w:pStyle w:val="4"/>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课程学习培养费15</w:t>
      </w: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00元</w:t>
      </w:r>
    </w:p>
    <w:p w14:paraId="3C05FDA2">
      <w:pPr>
        <w:pStyle w:val="4"/>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5</w:t>
      </w:r>
      <w:r>
        <w:rPr>
          <w:rFonts w:hint="eastAsia" w:cs="仿宋_GB2312" w:asciiTheme="minorEastAsia" w:hAnsiTheme="minorEastAsia"/>
          <w:color w:val="000000"/>
        </w:rPr>
        <w:t>000元</w:t>
      </w:r>
    </w:p>
    <w:p w14:paraId="362EA61A">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0783DAE4">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068257E">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38EE681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7F601001">
      <w:pPr>
        <w:spacing w:line="360" w:lineRule="auto"/>
        <w:contextualSpacing/>
        <w:jc w:val="left"/>
        <w:rPr>
          <w:rFonts w:cs="宋体" w:asciiTheme="minorEastAsia" w:hAnsiTheme="minorEastAsia"/>
          <w:sz w:val="24"/>
        </w:rPr>
      </w:pPr>
    </w:p>
    <w:p w14:paraId="1237B9E9">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CBF0AC4">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D1E1C72">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557DFCB4">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6BB770DB">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6BA1D024">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76B2DA11">
      <w:pPr>
        <w:spacing w:line="360" w:lineRule="auto"/>
        <w:contextualSpacing/>
        <w:jc w:val="left"/>
        <w:rPr>
          <w:rFonts w:cs="宋体" w:asciiTheme="minorEastAsia" w:hAnsiTheme="minorEastAsia"/>
          <w:sz w:val="24"/>
        </w:rPr>
      </w:pPr>
    </w:p>
    <w:p w14:paraId="3FD1C062">
      <w:pPr>
        <w:spacing w:line="360" w:lineRule="auto"/>
        <w:contextualSpacing/>
        <w:jc w:val="left"/>
        <w:rPr>
          <w:rFonts w:cs="宋体" w:asciiTheme="minorEastAsia" w:hAnsiTheme="minorEastAsia"/>
          <w:sz w:val="24"/>
        </w:rPr>
      </w:pPr>
    </w:p>
    <w:p w14:paraId="03CABD90">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3EE801E4">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5303EA20">
      <w:pPr>
        <w:spacing w:line="360" w:lineRule="auto"/>
        <w:ind w:firstLine="480" w:firstLineChars="200"/>
        <w:contextualSpacing/>
        <w:jc w:val="left"/>
        <w:rPr>
          <w:rFonts w:hint="eastAsia" w:cs="宋体" w:asciiTheme="minorEastAsia" w:hAnsiTheme="minorEastAsia"/>
          <w:sz w:val="24"/>
        </w:rPr>
      </w:pPr>
    </w:p>
    <w:p w14:paraId="7E5B417E">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5CD6A">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14991F55"/>
    <w:rsid w:val="154D3D4A"/>
    <w:rsid w:val="1A7C7557"/>
    <w:rsid w:val="3FB771BA"/>
    <w:rsid w:val="4A9F0469"/>
    <w:rsid w:val="4EA60DAF"/>
    <w:rsid w:val="4EE34B5E"/>
    <w:rsid w:val="52D84839"/>
    <w:rsid w:val="6A4A7BCF"/>
    <w:rsid w:val="73BE0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1726</Words>
  <Characters>1765</Characters>
  <Lines>0</Lines>
  <Paragraphs>0</Paragraphs>
  <TotalTime>5</TotalTime>
  <ScaleCrop>false</ScaleCrop>
  <LinksUpToDate>false</LinksUpToDate>
  <CharactersWithSpaces>1767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2026-02-12T06:10:11Z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C07FC27F4B5C4C01A46D098CB0C871B2_13</vt:lpwstr>
  </property>
  <property fmtid="{D5CDD505-2E9C-101B-9397-08002B2CF9AE}" pid="4" name="KSOTemplateDocerSaveRecord">
    <vt:lpwstr>eyJoZGlkIjoiNGQ5ODQ5N2Q1NmI0ZDAwYTJiMTcyMmU3ZjhhMWE4NmEifQ==</vt:lpwstr>
  </property>
</Properties>
</file>