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BF5EB">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72A6CE65">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南昌大学资源与环境学院化工过程机械</w:t>
      </w:r>
      <w:r>
        <w:rPr>
          <w:rFonts w:hint="eastAsia" w:cs="宋体" w:asciiTheme="majorEastAsia" w:hAnsiTheme="majorEastAsia" w:eastAsiaTheme="majorEastAsia"/>
          <w:b/>
          <w:bCs/>
          <w:sz w:val="36"/>
          <w:szCs w:val="36"/>
          <w:lang w:val="en-US" w:eastAsia="zh-CN"/>
        </w:rPr>
        <w:t>专业</w:t>
      </w:r>
    </w:p>
    <w:p w14:paraId="63747769">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110CC3D7">
      <w:pPr>
        <w:tabs>
          <w:tab w:val="left" w:pos="2820"/>
        </w:tabs>
        <w:spacing w:line="360" w:lineRule="auto"/>
        <w:contextualSpacing/>
        <w:jc w:val="left"/>
        <w:rPr>
          <w:rFonts w:cs="宋体" w:asciiTheme="minorEastAsia" w:hAnsiTheme="minorEastAsia"/>
          <w:sz w:val="24"/>
        </w:rPr>
      </w:pPr>
    </w:p>
    <w:p w14:paraId="6F474C44">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2885F1A1">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350E082E">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资源与环境学院主要源于1958年江西工学院化学工程系，1999年因环境工程系与化学工程系合并，成立环境与化学工程学院。2022年1月，在新一轮的学科与院系调整中，因化学工程系被调出，更名为资源与环境学院。</w:t>
      </w:r>
    </w:p>
    <w:p w14:paraId="6CBD1882">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学院聚焦流域碳中和与碳达峰，以环境科学与工程学科为主干、以特色过程装备与控制工程和资源循环科学与工程2学科为支撑，聚力绿色和低碳发展、美丽中国建设的科学研究与人才培养。有环境工程、过程装备与控制工程、资源循环科学与工程、给排水科学与工程等四个本科专业；有环境科学与工程、动力工程与工程热物理（与智能制造学院合作）2个一级学科硕士学位授权点、市政工程二级学科硕士学位授权点，以及环境科学与工程一级学科博士授权点。学院有环境科学与工程博士后科研流动站。学院现有在校生1100余人，其中全日制博士、硕士研究生300余人，本科生800余人。</w:t>
      </w:r>
    </w:p>
    <w:p w14:paraId="644E91EF">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lang w:val="en-US" w:eastAsia="zh-CN"/>
        </w:rPr>
        <w:t>为适应全国社会经济发展的需求，培养更多环境领域的高层次专业人才。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资源与环境学院决定面向全国开设化工过程机械</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73F871D4">
      <w:pPr>
        <w:spacing w:line="360" w:lineRule="auto"/>
        <w:contextualSpacing/>
        <w:jc w:val="left"/>
        <w:rPr>
          <w:rFonts w:hint="eastAsia" w:cs="宋体" w:asciiTheme="minorEastAsia" w:hAnsiTheme="minorEastAsia"/>
          <w:sz w:val="24"/>
        </w:rPr>
      </w:pPr>
    </w:p>
    <w:p w14:paraId="18A2455C">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3E99A385">
      <w:pPr>
        <w:widowControl w:val="0"/>
        <w:numPr>
          <w:ilvl w:val="0"/>
          <w:numId w:val="0"/>
        </w:numPr>
        <w:spacing w:line="360" w:lineRule="auto"/>
        <w:ind w:firstLine="481"/>
        <w:contextualSpacing/>
        <w:jc w:val="left"/>
        <w:rPr>
          <w:rFonts w:hint="eastAsia" w:cs="宋体" w:asciiTheme="minorEastAsia" w:hAnsiTheme="minorEastAsia"/>
          <w:b w:val="0"/>
          <w:bCs w:val="0"/>
          <w:color w:val="000000" w:themeColor="text1"/>
          <w:sz w:val="24"/>
          <w:lang w:val="en-US" w:eastAsia="zh-CN"/>
          <w14:textFill>
            <w14:solidFill>
              <w14:schemeClr w14:val="tx1"/>
            </w14:solidFill>
          </w14:textFill>
        </w:rPr>
      </w:pPr>
      <w:r>
        <w:rPr>
          <w:rFonts w:hint="eastAsia" w:cs="宋体" w:asciiTheme="minorEastAsia" w:hAnsiTheme="minorEastAsia"/>
          <w:b w:val="0"/>
          <w:bCs w:val="0"/>
          <w:color w:val="000000" w:themeColor="text1"/>
          <w:sz w:val="24"/>
          <w:lang w:val="en-US" w:eastAsia="zh-CN"/>
          <w14:textFill>
            <w14:solidFill>
              <w14:schemeClr w14:val="tx1"/>
            </w14:solidFill>
          </w14:textFill>
        </w:rPr>
        <w:t>本专业要求学生掌握有扎实的化工机械工程理论基础和系统的专业知识，掌握一门外国语，能熟练地阅读本专业语种的外文资料，具有一定的应用该语种的写作与交流能力；了解本学科现代理论和技术的发展水平以及所从事研究方向的国内外发展动态，具有从事科学研究和独立承担专业技术工作的能力；具备从事本专业科学研究、教学或技术管理的工作能力的化工过程机械专业高级专门人才。</w:t>
      </w:r>
    </w:p>
    <w:p w14:paraId="28EB538D">
      <w:pPr>
        <w:widowControl w:val="0"/>
        <w:numPr>
          <w:ilvl w:val="0"/>
          <w:numId w:val="0"/>
        </w:numPr>
        <w:spacing w:line="360" w:lineRule="auto"/>
        <w:contextualSpacing/>
        <w:jc w:val="left"/>
        <w:rPr>
          <w:rFonts w:hint="default" w:cs="宋体" w:asciiTheme="minorEastAsia" w:hAnsiTheme="minorEastAsia"/>
          <w:b w:val="0"/>
          <w:bCs w:val="0"/>
          <w:color w:val="000000" w:themeColor="text1"/>
          <w:sz w:val="24"/>
          <w:lang w:val="en-US" w:eastAsia="zh-CN"/>
          <w14:textFill>
            <w14:solidFill>
              <w14:schemeClr w14:val="tx1"/>
            </w14:solidFill>
          </w14:textFill>
        </w:rPr>
      </w:pPr>
    </w:p>
    <w:p w14:paraId="1A2A8092">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48CA6A4D">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前景</w:t>
      </w:r>
      <w:r>
        <w:rPr>
          <w:rFonts w:hint="eastAsia" w:cs="宋体" w:asciiTheme="minorEastAsia" w:hAnsiTheme="minorEastAsia"/>
          <w:sz w:val="24"/>
        </w:rPr>
        <w:t>学科】</w:t>
      </w:r>
      <w:r>
        <w:rPr>
          <w:rFonts w:hint="eastAsia" w:cs="宋体" w:asciiTheme="minorEastAsia" w:hAnsiTheme="minorEastAsia"/>
          <w:sz w:val="24"/>
          <w:lang w:val="en-US" w:eastAsia="zh-CN"/>
        </w:rPr>
        <w:t>资源与环境领域重点发展专业，国家政策聚焦领域，蓝图无限；</w:t>
      </w:r>
    </w:p>
    <w:p w14:paraId="354142F6">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可跨专业报读，先学习后考试</w:t>
      </w:r>
      <w:r>
        <w:rPr>
          <w:rFonts w:cs="宋体" w:asciiTheme="minorEastAsia" w:hAnsiTheme="minorEastAsia"/>
          <w:sz w:val="24"/>
        </w:rPr>
        <w:t>；</w:t>
      </w:r>
    </w:p>
    <w:p w14:paraId="2A4D1E35">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全国统考仅考专业和英语2门</w:t>
      </w:r>
      <w:r>
        <w:rPr>
          <w:rFonts w:hint="eastAsia" w:cs="宋体" w:asciiTheme="minorEastAsia" w:hAnsiTheme="minorEastAsia"/>
          <w:sz w:val="24"/>
        </w:rPr>
        <w:t>，60分合格，难度较低；</w:t>
      </w:r>
    </w:p>
    <w:p w14:paraId="68EA5482">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5944E9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4762E73D">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12648CC7">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1E77EB0B">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571E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01EBE70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化工过程机械专业课程设置</w:t>
            </w:r>
          </w:p>
        </w:tc>
      </w:tr>
      <w:tr w14:paraId="4E8C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61D29B7C">
            <w:pPr>
              <w:rPr>
                <w:rFonts w:hint="eastAsia" w:eastAsia="宋体" w:cs="微软雅黑"/>
                <w:b/>
                <w:bCs/>
                <w:color w:val="000000"/>
                <w:sz w:val="21"/>
                <w:szCs w:val="21"/>
                <w:lang w:val="en-US" w:eastAsia="zh-CN" w:bidi="ar"/>
              </w:rPr>
            </w:pPr>
          </w:p>
          <w:p w14:paraId="2CA7ACC5">
            <w:pPr>
              <w:rPr>
                <w:rFonts w:hint="eastAsia" w:eastAsia="宋体" w:cs="微软雅黑"/>
                <w:b/>
                <w:bCs/>
                <w:color w:val="000000"/>
                <w:sz w:val="21"/>
                <w:szCs w:val="21"/>
                <w:lang w:val="en-US" w:eastAsia="zh-CN" w:bidi="ar"/>
              </w:rPr>
            </w:pPr>
          </w:p>
          <w:p w14:paraId="67B18E44">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65EB425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7ACBB7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0D89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0FE45681">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7F3F3E6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429FDDBC">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数值分析</w:t>
            </w:r>
          </w:p>
        </w:tc>
      </w:tr>
      <w:tr w14:paraId="5719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122C013B">
            <w:pPr>
              <w:pStyle w:val="2"/>
              <w:widowControl/>
              <w:spacing w:before="225" w:beforeAutospacing="0" w:after="75" w:afterAutospacing="0"/>
              <w:jc w:val="center"/>
              <w:rPr>
                <w:rFonts w:hint="default"/>
                <w:lang w:val="en-US" w:eastAsia="zh-CN"/>
              </w:rPr>
            </w:pPr>
          </w:p>
          <w:p w14:paraId="44977297">
            <w:pPr>
              <w:rPr>
                <w:rFonts w:hint="default" w:eastAsia="宋体" w:cs="微软雅黑"/>
                <w:b w:val="0"/>
                <w:color w:val="000000"/>
                <w:sz w:val="21"/>
                <w:szCs w:val="21"/>
                <w:lang w:val="en-US" w:eastAsia="zh-CN" w:bidi="ar"/>
              </w:rPr>
            </w:pPr>
          </w:p>
          <w:p w14:paraId="2690B8EE">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2DD95D87">
            <w:pPr>
              <w:rPr>
                <w:rFonts w:hint="eastAsia" w:eastAsia="宋体" w:cs="微软雅黑"/>
                <w:b w:val="0"/>
                <w:color w:val="000000"/>
                <w:sz w:val="21"/>
                <w:szCs w:val="21"/>
                <w:lang w:val="en-US" w:eastAsia="zh-CN" w:bidi="ar"/>
              </w:rPr>
            </w:pPr>
          </w:p>
          <w:p w14:paraId="617B8CBF">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532E728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弹塑性力学及其工程应用</w:t>
            </w:r>
          </w:p>
        </w:tc>
        <w:tc>
          <w:tcPr>
            <w:tcW w:w="3472" w:type="dxa"/>
            <w:noWrap w:val="0"/>
            <w:vAlign w:val="top"/>
          </w:tcPr>
          <w:p w14:paraId="3B7E05A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矩阵理论</w:t>
            </w:r>
          </w:p>
        </w:tc>
      </w:tr>
      <w:tr w14:paraId="2730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31BA6E5">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0BA601C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有限元分析概论</w:t>
            </w:r>
          </w:p>
        </w:tc>
        <w:tc>
          <w:tcPr>
            <w:tcW w:w="3472" w:type="dxa"/>
            <w:noWrap w:val="0"/>
            <w:vAlign w:val="top"/>
          </w:tcPr>
          <w:p w14:paraId="21F89DC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过程装备控制技术</w:t>
            </w:r>
          </w:p>
        </w:tc>
      </w:tr>
      <w:tr w14:paraId="3126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C980D8E">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EB873B3">
            <w:pPr>
              <w:pStyle w:val="2"/>
              <w:widowControl/>
              <w:spacing w:before="225" w:beforeAutospacing="0" w:after="75" w:afterAutospacing="0"/>
              <w:jc w:val="center"/>
              <w:rPr>
                <w:rFonts w:hint="default" w:eastAsia="宋体" w:cs="微软雅黑"/>
                <w:b w:val="0"/>
                <w:bCs/>
                <w:color w:val="000000"/>
                <w:sz w:val="21"/>
                <w:szCs w:val="21"/>
                <w:lang w:val="en-US" w:eastAsia="zh-CN" w:bidi="ar"/>
              </w:rPr>
            </w:pPr>
            <w:r>
              <w:rPr>
                <w:rFonts w:hint="default" w:eastAsia="宋体" w:cs="微软雅黑"/>
                <w:b w:val="0"/>
                <w:bCs/>
                <w:color w:val="000000"/>
                <w:sz w:val="21"/>
                <w:szCs w:val="21"/>
                <w:lang w:val="en-US" w:eastAsia="zh-CN" w:bidi="ar"/>
              </w:rPr>
              <w:t>过程装备状态监测与故障诊断</w:t>
            </w:r>
          </w:p>
        </w:tc>
        <w:tc>
          <w:tcPr>
            <w:tcW w:w="3472" w:type="dxa"/>
            <w:noWrap w:val="0"/>
            <w:vAlign w:val="top"/>
          </w:tcPr>
          <w:p w14:paraId="7DAFCB7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聚合物加工流变学</w:t>
            </w:r>
          </w:p>
        </w:tc>
      </w:tr>
      <w:tr w14:paraId="0EC9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ECADA8B">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769B36D3">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聚合物加工原理</w:t>
            </w:r>
          </w:p>
        </w:tc>
        <w:tc>
          <w:tcPr>
            <w:tcW w:w="3472" w:type="dxa"/>
            <w:noWrap w:val="0"/>
            <w:vAlign w:val="top"/>
          </w:tcPr>
          <w:p w14:paraId="06BE48F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过程装备测试技术</w:t>
            </w:r>
          </w:p>
        </w:tc>
      </w:tr>
      <w:tr w14:paraId="388F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3799EA7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1BF622F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eastAsia="宋体" w:cs="微软雅黑"/>
                <w:b w:val="0"/>
                <w:color w:val="000000"/>
                <w:sz w:val="21"/>
                <w:szCs w:val="21"/>
                <w:lang w:val="en-US" w:eastAsia="zh-CN" w:bidi="ar"/>
              </w:rPr>
              <w:t>计算机控制原理与技术</w:t>
            </w:r>
          </w:p>
        </w:tc>
        <w:tc>
          <w:tcPr>
            <w:tcW w:w="3472" w:type="dxa"/>
            <w:noWrap w:val="0"/>
            <w:vAlign w:val="top"/>
          </w:tcPr>
          <w:p w14:paraId="1C09B25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振动测试与分析技术</w:t>
            </w:r>
          </w:p>
        </w:tc>
      </w:tr>
      <w:tr w14:paraId="24EE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CB2C09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B821EC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化工过程机械技术进展专题研讨</w:t>
            </w:r>
          </w:p>
        </w:tc>
        <w:tc>
          <w:tcPr>
            <w:tcW w:w="3472" w:type="dxa"/>
            <w:noWrap w:val="0"/>
            <w:vAlign w:val="top"/>
          </w:tcPr>
          <w:p w14:paraId="2ED9302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压力容器断裂理论及工程应用</w:t>
            </w:r>
          </w:p>
        </w:tc>
      </w:tr>
    </w:tbl>
    <w:p w14:paraId="43F41A8A">
      <w:pPr>
        <w:widowControl w:val="0"/>
        <w:numPr>
          <w:ilvl w:val="0"/>
          <w:numId w:val="0"/>
        </w:numPr>
        <w:spacing w:line="360" w:lineRule="auto"/>
        <w:contextualSpacing/>
        <w:jc w:val="center"/>
        <w:rPr>
          <w:rFonts w:hint="eastAsia"/>
          <w:sz w:val="21"/>
          <w:szCs w:val="21"/>
        </w:rPr>
      </w:pPr>
      <w:r>
        <w:rPr>
          <w:rFonts w:hint="eastAsia"/>
          <w:sz w:val="21"/>
          <w:szCs w:val="21"/>
        </w:rPr>
        <w:t>注：</w:t>
      </w:r>
      <w:r>
        <w:rPr>
          <w:rFonts w:hint="eastAsia"/>
          <w:sz w:val="21"/>
          <w:szCs w:val="21"/>
          <w:lang w:val="en-US" w:eastAsia="zh-CN"/>
        </w:rPr>
        <w:t>具体课程</w:t>
      </w:r>
      <w:r>
        <w:rPr>
          <w:rFonts w:hint="eastAsia"/>
          <w:sz w:val="21"/>
          <w:szCs w:val="21"/>
        </w:rPr>
        <w:t>参照实际教学</w:t>
      </w:r>
    </w:p>
    <w:p w14:paraId="67C724D4">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2A2B87BC">
      <w:pPr>
        <w:numPr>
          <w:ilvl w:val="0"/>
          <w:numId w:val="1"/>
        </w:numPr>
        <w:spacing w:line="360" w:lineRule="auto"/>
        <w:ind w:left="0" w:leftChars="0" w:firstLine="0" w:firstLineChars="0"/>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r>
        <w:rPr>
          <w:rFonts w:hint="eastAsia" w:cs="宋体" w:asciiTheme="minorEastAsia" w:hAnsiTheme="minorEastAsia"/>
          <w:b/>
          <w:bCs/>
          <w:color w:val="000000" w:themeColor="text1"/>
          <w:sz w:val="24"/>
          <w:lang w:eastAsia="zh-CN"/>
          <w14:textFill>
            <w14:solidFill>
              <w14:schemeClr w14:val="tx1"/>
            </w14:solidFill>
          </w14:textFill>
        </w:rPr>
        <w:t>：</w:t>
      </w:r>
    </w:p>
    <w:p w14:paraId="7B821192">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5504D086">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61BBCA39">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2456BDC7">
      <w:pPr>
        <w:spacing w:line="360" w:lineRule="auto"/>
        <w:contextualSpacing/>
        <w:jc w:val="left"/>
        <w:rPr>
          <w:rFonts w:cs="宋体" w:asciiTheme="minorEastAsia" w:hAnsiTheme="minorEastAsia"/>
          <w:sz w:val="24"/>
        </w:rPr>
      </w:pPr>
    </w:p>
    <w:p w14:paraId="72E23359">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5CF90E0B">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p>
    <w:p w14:paraId="74427796">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6</w:t>
      </w:r>
      <w:r>
        <w:rPr>
          <w:rFonts w:hint="eastAsia" w:cs="仿宋_GB2312" w:asciiTheme="minorEastAsia" w:hAnsiTheme="minorEastAsia"/>
          <w:color w:val="000000"/>
        </w:rPr>
        <w:t>000元</w:t>
      </w:r>
    </w:p>
    <w:p w14:paraId="38E07A8E">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183ADCBB">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FDA6C08">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31172088">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621DD9BB">
      <w:pPr>
        <w:spacing w:line="360" w:lineRule="auto"/>
        <w:contextualSpacing/>
        <w:jc w:val="left"/>
        <w:rPr>
          <w:rFonts w:cs="宋体" w:asciiTheme="minorEastAsia" w:hAnsiTheme="minorEastAsia"/>
          <w:sz w:val="24"/>
        </w:rPr>
      </w:pPr>
    </w:p>
    <w:p w14:paraId="7BA19790">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2B7B994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38D051EC">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5D3146C5">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69FC0B72">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26AB4DE3">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1B3279D4">
      <w:pPr>
        <w:spacing w:line="360" w:lineRule="auto"/>
        <w:contextualSpacing/>
        <w:jc w:val="left"/>
        <w:rPr>
          <w:rFonts w:cs="宋体" w:asciiTheme="minorEastAsia" w:hAnsiTheme="minorEastAsia"/>
          <w:sz w:val="24"/>
        </w:rPr>
      </w:pPr>
    </w:p>
    <w:p w14:paraId="1B50E82E">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01C7FD59">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38759BF3">
      <w:pPr>
        <w:spacing w:line="360" w:lineRule="auto"/>
        <w:ind w:firstLine="480" w:firstLineChars="200"/>
        <w:contextualSpacing/>
        <w:jc w:val="left"/>
        <w:rPr>
          <w:rFonts w:hint="eastAsia" w:cs="宋体" w:asciiTheme="minorEastAsia" w:hAnsiTheme="minorEastAsia"/>
          <w:sz w:val="24"/>
        </w:rPr>
      </w:pPr>
    </w:p>
    <w:p w14:paraId="61337551">
      <w:pPr>
        <w:jc w:val="both"/>
        <w:rPr>
          <w:rFonts w:hint="eastAsia" w:cs="宋体" w:asciiTheme="majorEastAsia" w:hAnsiTheme="majorEastAsia" w:eastAsiaTheme="majorEastAsia"/>
          <w:b/>
          <w:bCs/>
          <w:sz w:val="36"/>
          <w:szCs w:val="36"/>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79438">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9903C9B"/>
    <w:rsid w:val="153332F2"/>
    <w:rsid w:val="162A63E6"/>
    <w:rsid w:val="22C81439"/>
    <w:rsid w:val="23081069"/>
    <w:rsid w:val="278A5692"/>
    <w:rsid w:val="3A541CD3"/>
    <w:rsid w:val="3BE155F6"/>
    <w:rsid w:val="446B64B3"/>
    <w:rsid w:val="452C63A7"/>
    <w:rsid w:val="4C761186"/>
    <w:rsid w:val="4EA60DAF"/>
    <w:rsid w:val="508605D9"/>
    <w:rsid w:val="56D96AA1"/>
    <w:rsid w:val="5E7A12F5"/>
    <w:rsid w:val="60E94502"/>
    <w:rsid w:val="62255368"/>
    <w:rsid w:val="71E73E39"/>
    <w:rsid w:val="725F7D69"/>
    <w:rsid w:val="776B3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1771</Words>
  <Characters>1803</Characters>
  <Lines>0</Lines>
  <Paragraphs>0</Paragraphs>
  <TotalTime>6</TotalTime>
  <ScaleCrop>false</ScaleCrop>
  <LinksUpToDate>false</LinksUpToDate>
  <CharactersWithSpaces>1807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2026-02-12T06:21:03Z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4302E05FB24A45FAA30A5E2C9DF546AC_13</vt:lpwstr>
  </property>
  <property fmtid="{D5CDD505-2E9C-101B-9397-08002B2CF9AE}" pid="4" name="KSOTemplateDocerSaveRecord">
    <vt:lpwstr>eyJoZGlkIjoiNGQ5ODQ5N2Q1NmI0ZDAwYTJiMTcyMmU3ZjhhMWE4NmEifQ==</vt:lpwstr>
  </property>
</Properties>
</file>