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B230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2B4592B6">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南昌大学工程建设学院桥梁与隧道工程</w:t>
      </w:r>
      <w:r>
        <w:rPr>
          <w:rFonts w:hint="eastAsia" w:cs="宋体" w:asciiTheme="majorEastAsia" w:hAnsiTheme="majorEastAsia" w:eastAsiaTheme="majorEastAsia"/>
          <w:b/>
          <w:bCs/>
          <w:sz w:val="36"/>
          <w:szCs w:val="36"/>
          <w:lang w:val="en-US" w:eastAsia="zh-CN"/>
        </w:rPr>
        <w:t>专业</w:t>
      </w:r>
    </w:p>
    <w:p w14:paraId="75D60A0E">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3ABAD1FA">
      <w:pPr>
        <w:tabs>
          <w:tab w:val="left" w:pos="2820"/>
        </w:tabs>
        <w:spacing w:line="360" w:lineRule="auto"/>
        <w:contextualSpacing/>
        <w:jc w:val="left"/>
        <w:rPr>
          <w:rFonts w:cs="宋体" w:asciiTheme="minorEastAsia" w:hAnsiTheme="minorEastAsia"/>
          <w:sz w:val="24"/>
        </w:rPr>
      </w:pPr>
    </w:p>
    <w:p w14:paraId="79BAEFB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68180FDE">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7A243995">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工程建设学院前身是1958年创立的江西工学院土木建筑工程系，办学始于1940年创建的国立中正大学土木水利学科。2022年院系调整，建筑工程学院更名为工程建设学院。学院拥有力学博士后流动站，力学、水利工程2个博士学位授权一级学科，力学、土木工程、水利工程3个硕士学位授权一级学科，以及土木水利硕士专业学位授权类别。</w:t>
      </w:r>
    </w:p>
    <w:p w14:paraId="256FD5DB">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桥梁与隧道工程专业属土木工程一级学科，是集设计、施工与工程管理为一体的具有很强实践性的工程学科，旨在培养与工程建设领域相关的各种高级技术与管理人才。该学科面向国民经济建设中基础工程建设，涉及工民建、交通、水利、矿山、铁道及空港工程等基础设施建设领域。</w:t>
      </w:r>
    </w:p>
    <w:p w14:paraId="35138B6D">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为适应</w:t>
      </w:r>
      <w:r>
        <w:rPr>
          <w:rFonts w:hint="eastAsia" w:ascii="宋体" w:hAnsi="宋体" w:eastAsia="宋体" w:cs="宋体"/>
          <w:i w:val="0"/>
          <w:iCs w:val="0"/>
          <w:caps w:val="0"/>
          <w:color w:val="000000"/>
          <w:spacing w:val="0"/>
          <w:sz w:val="24"/>
          <w:szCs w:val="24"/>
          <w:shd w:val="clear" w:fill="FFFFFF"/>
          <w:lang w:val="en-US" w:eastAsia="zh-CN"/>
        </w:rPr>
        <w:t>全国</w:t>
      </w:r>
      <w:r>
        <w:rPr>
          <w:rFonts w:hint="eastAsia" w:ascii="宋体" w:hAnsi="宋体" w:eastAsia="宋体" w:cs="宋体"/>
          <w:i w:val="0"/>
          <w:iCs w:val="0"/>
          <w:caps w:val="0"/>
          <w:color w:val="000000"/>
          <w:spacing w:val="0"/>
          <w:sz w:val="24"/>
          <w:szCs w:val="24"/>
          <w:shd w:val="clear" w:fill="FFFFFF"/>
        </w:rPr>
        <w:t>经济发展的需要，满足社会对</w:t>
      </w:r>
      <w:r>
        <w:rPr>
          <w:rFonts w:hint="eastAsia" w:ascii="宋体" w:hAnsi="宋体" w:eastAsia="宋体" w:cs="宋体"/>
          <w:i w:val="0"/>
          <w:iCs w:val="0"/>
          <w:caps w:val="0"/>
          <w:color w:val="000000"/>
          <w:spacing w:val="0"/>
          <w:sz w:val="24"/>
          <w:szCs w:val="24"/>
          <w:shd w:val="clear" w:fill="FFFFFF"/>
          <w:lang w:val="en-US" w:eastAsia="zh-CN"/>
        </w:rPr>
        <w:t>工程领域高层</w:t>
      </w:r>
      <w:r>
        <w:rPr>
          <w:rFonts w:hint="eastAsia" w:ascii="宋体" w:hAnsi="宋体" w:eastAsia="宋体" w:cs="宋体"/>
          <w:i w:val="0"/>
          <w:iCs w:val="0"/>
          <w:caps w:val="0"/>
          <w:color w:val="000000"/>
          <w:spacing w:val="0"/>
          <w:sz w:val="24"/>
          <w:szCs w:val="24"/>
          <w:shd w:val="clear" w:fill="FFFFFF"/>
        </w:rPr>
        <w:t>次</w:t>
      </w:r>
      <w:r>
        <w:rPr>
          <w:rFonts w:hint="eastAsia" w:ascii="宋体" w:hAnsi="宋体" w:eastAsia="宋体" w:cs="宋体"/>
          <w:i w:val="0"/>
          <w:iCs w:val="0"/>
          <w:caps w:val="0"/>
          <w:color w:val="000000"/>
          <w:spacing w:val="0"/>
          <w:sz w:val="24"/>
          <w:szCs w:val="24"/>
          <w:shd w:val="clear" w:fill="FFFFFF"/>
          <w:lang w:val="en-US" w:eastAsia="zh-CN"/>
        </w:rPr>
        <w:t>专业</w:t>
      </w:r>
      <w:r>
        <w:rPr>
          <w:rFonts w:hint="eastAsia" w:ascii="宋体" w:hAnsi="宋体" w:eastAsia="宋体" w:cs="宋体"/>
          <w:i w:val="0"/>
          <w:iCs w:val="0"/>
          <w:caps w:val="0"/>
          <w:color w:val="000000"/>
          <w:spacing w:val="0"/>
          <w:sz w:val="24"/>
          <w:szCs w:val="24"/>
          <w:shd w:val="clear" w:fill="FFFFFF"/>
        </w:rPr>
        <w:t>人才的需求，南昌大学</w:t>
      </w:r>
      <w:r>
        <w:rPr>
          <w:rFonts w:hint="eastAsia" w:ascii="宋体" w:hAnsi="宋体" w:eastAsia="宋体" w:cs="宋体"/>
          <w:i w:val="0"/>
          <w:iCs w:val="0"/>
          <w:caps w:val="0"/>
          <w:color w:val="000000"/>
          <w:spacing w:val="0"/>
          <w:sz w:val="24"/>
          <w:szCs w:val="24"/>
          <w:shd w:val="clear" w:fill="FFFFFF"/>
          <w:lang w:val="en-US" w:eastAsia="zh-CN"/>
        </w:rPr>
        <w:t>工程建设学院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决定面向全国开设桥梁与隧道工程专业</w:t>
      </w:r>
      <w:r>
        <w:rPr>
          <w:rFonts w:hint="eastAsia" w:ascii="宋体" w:hAnsi="宋体" w:eastAsia="宋体" w:cs="宋体"/>
          <w:i w:val="0"/>
          <w:iCs w:val="0"/>
          <w:caps w:val="0"/>
          <w:color w:val="000000"/>
          <w:spacing w:val="0"/>
          <w:sz w:val="24"/>
          <w:szCs w:val="24"/>
          <w:shd w:val="clear" w:fill="FFFFFF"/>
        </w:rPr>
        <w:t>同等学力申请硕士学位课程研修班。</w:t>
      </w:r>
    </w:p>
    <w:p w14:paraId="344CAD79">
      <w:pPr>
        <w:spacing w:line="360" w:lineRule="auto"/>
        <w:contextualSpacing/>
        <w:jc w:val="left"/>
        <w:rPr>
          <w:rFonts w:hint="eastAsia" w:cs="宋体" w:asciiTheme="minorEastAsia" w:hAnsiTheme="minorEastAsia"/>
          <w:sz w:val="24"/>
        </w:rPr>
      </w:pPr>
    </w:p>
    <w:p w14:paraId="59F52A8F">
      <w:pPr>
        <w:numPr>
          <w:ilvl w:val="0"/>
          <w:numId w:val="1"/>
        </w:numPr>
        <w:spacing w:line="360" w:lineRule="auto"/>
        <w:contextualSpacing/>
        <w:jc w:val="left"/>
        <w:rPr>
          <w:rFonts w:hint="eastAsia" w:ascii="宋体" w:hAnsi="宋体" w:eastAsia="宋体" w:cs="宋体"/>
          <w:i w:val="0"/>
          <w:iCs w:val="0"/>
          <w:caps w:val="0"/>
          <w:color w:val="000000"/>
          <w:spacing w:val="0"/>
          <w:kern w:val="2"/>
          <w:sz w:val="24"/>
          <w:szCs w:val="24"/>
          <w:shd w:val="clear" w:fill="FFFFFF"/>
          <w:lang w:val="en-US" w:eastAsia="zh-CN" w:bidi="ar-SA"/>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041896BA">
      <w:pPr>
        <w:numPr>
          <w:ilvl w:val="0"/>
          <w:numId w:val="0"/>
        </w:numPr>
        <w:spacing w:line="360" w:lineRule="auto"/>
        <w:ind w:firstLine="480" w:firstLineChars="200"/>
        <w:contextualSpacing/>
        <w:jc w:val="left"/>
        <w:rPr>
          <w:rFonts w:hint="eastAsia" w:ascii="宋体" w:hAnsi="宋体" w:eastAsia="宋体" w:cs="宋体"/>
          <w:i w:val="0"/>
          <w:iCs w:val="0"/>
          <w:caps w:val="0"/>
          <w:color w:val="000000"/>
          <w:spacing w:val="0"/>
          <w:kern w:val="2"/>
          <w:sz w:val="24"/>
          <w:szCs w:val="24"/>
          <w:shd w:val="clear" w:fill="FFFFFF"/>
          <w:lang w:val="en-US" w:eastAsia="zh-CN" w:bidi="ar-SA"/>
        </w:rPr>
      </w:pPr>
      <w:r>
        <w:rPr>
          <w:rFonts w:hint="eastAsia" w:ascii="宋体" w:hAnsi="宋体" w:eastAsia="宋体" w:cs="宋体"/>
          <w:i w:val="0"/>
          <w:iCs w:val="0"/>
          <w:caps w:val="0"/>
          <w:color w:val="000000"/>
          <w:spacing w:val="0"/>
          <w:kern w:val="2"/>
          <w:sz w:val="24"/>
          <w:szCs w:val="24"/>
          <w:shd w:val="clear" w:fill="FFFFFF"/>
          <w:lang w:val="en-US" w:eastAsia="zh-CN" w:bidi="ar-SA"/>
        </w:rPr>
        <w:t>本专业培养掌握防灾减灾工程、防护结构工程及地质工程坚实基础理论知识、系统的专门科学知识，对本学科的现状和发展趋势有基本的了解并有本学科现代实验方法和技能的高素质复合型人才；可从事土木工程领域尤其是铁路、公路、机场等部门的技术开发、勘测设计、尤其是特殊工程设计和运营管理等工作，也可在高等院校或科研院所从事教学或科研工作。</w:t>
      </w:r>
    </w:p>
    <w:p w14:paraId="50E56DD0">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firstLine="482" w:firstLineChars="200"/>
        <w:contextualSpacing/>
        <w:jc w:val="left"/>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31F16B41">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3C9AFD78">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一流</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学院拥有众多硕士学位一级学科，均已通过专业认证；</w:t>
      </w:r>
    </w:p>
    <w:p w14:paraId="3A0F285A">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先学习课程再参加全国统考</w:t>
      </w:r>
      <w:r>
        <w:rPr>
          <w:rFonts w:cs="宋体" w:asciiTheme="minorEastAsia" w:hAnsiTheme="minorEastAsia"/>
          <w:sz w:val="24"/>
        </w:rPr>
        <w:t>；</w:t>
      </w:r>
    </w:p>
    <w:p w14:paraId="060F052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1</w:t>
      </w:r>
      <w:r>
        <w:rPr>
          <w:rFonts w:hint="eastAsia" w:cs="宋体" w:asciiTheme="minorEastAsia" w:hAnsiTheme="minorEastAsia"/>
          <w:sz w:val="24"/>
        </w:rPr>
        <w:t>科】满足条件的学员可申请申硕考试，仅考外语</w:t>
      </w:r>
      <w:r>
        <w:rPr>
          <w:rFonts w:hint="eastAsia" w:cs="宋体" w:asciiTheme="minorEastAsia" w:hAnsiTheme="minorEastAsia"/>
          <w:sz w:val="24"/>
          <w:lang w:val="en-US" w:eastAsia="zh-CN"/>
        </w:rPr>
        <w:t>1</w:t>
      </w:r>
      <w:r>
        <w:rPr>
          <w:rFonts w:hint="eastAsia" w:cs="宋体" w:asciiTheme="minorEastAsia" w:hAnsiTheme="minorEastAsia"/>
          <w:sz w:val="24"/>
        </w:rPr>
        <w:t>科，百分制60分合格，难度较低；</w:t>
      </w:r>
    </w:p>
    <w:p w14:paraId="2CCA2F6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次申硕考试机会，仅考</w:t>
      </w:r>
      <w:r>
        <w:rPr>
          <w:rFonts w:hint="eastAsia" w:cs="宋体" w:asciiTheme="minorEastAsia" w:hAnsiTheme="minorEastAsia"/>
          <w:sz w:val="24"/>
          <w:lang w:val="en-US" w:eastAsia="zh-CN"/>
        </w:rPr>
        <w:t>1</w:t>
      </w:r>
      <w:r>
        <w:rPr>
          <w:rFonts w:hint="eastAsia" w:cs="宋体" w:asciiTheme="minorEastAsia" w:hAnsiTheme="minorEastAsia"/>
          <w:sz w:val="24"/>
        </w:rPr>
        <w:t>科，大大提升申硕通过率；</w:t>
      </w:r>
    </w:p>
    <w:p w14:paraId="09E81BA9">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BAA722E">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301C00DA">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7BF69AD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pPr w:leftFromText="180" w:rightFromText="180" w:vertAnchor="text" w:horzAnchor="page" w:tblpX="2437" w:tblpY="1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3650"/>
        <w:gridCol w:w="3311"/>
      </w:tblGrid>
      <w:tr w14:paraId="5B8B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vAlign w:val="center"/>
          </w:tcPr>
          <w:p w14:paraId="51E49A6B">
            <w:pPr>
              <w:spacing w:line="360" w:lineRule="auto"/>
              <w:ind w:left="0" w:leftChars="0"/>
              <w:contextualSpacing/>
              <w:jc w:val="center"/>
              <w:rPr>
                <w:rFonts w:cs="宋体" w:asciiTheme="minorEastAsia" w:hAnsiTheme="minorEastAsia"/>
                <w:b/>
                <w:sz w:val="24"/>
              </w:rPr>
            </w:pPr>
            <w:r>
              <w:rPr>
                <w:rFonts w:hint="eastAsia" w:cs="宋体" w:asciiTheme="minorEastAsia" w:hAnsiTheme="minorEastAsia"/>
                <w:b/>
                <w:sz w:val="24"/>
                <w:lang w:val="en-US" w:eastAsia="zh-CN"/>
              </w:rPr>
              <w:t>桥梁与隧道工程</w:t>
            </w:r>
            <w:r>
              <w:rPr>
                <w:rFonts w:hint="eastAsia" w:cs="宋体" w:asciiTheme="minorEastAsia" w:hAnsiTheme="minorEastAsia"/>
                <w:b/>
                <w:sz w:val="24"/>
              </w:rPr>
              <w:t>专业课程设置</w:t>
            </w:r>
          </w:p>
        </w:tc>
      </w:tr>
      <w:tr w14:paraId="114C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0D559C0D">
            <w:pPr>
              <w:spacing w:line="360" w:lineRule="auto"/>
              <w:ind w:left="0" w:leftChars="0"/>
              <w:contextualSpacing/>
              <w:jc w:val="center"/>
              <w:rPr>
                <w:rFonts w:cs="宋体" w:asciiTheme="minorEastAsia" w:hAnsiTheme="minorEastAsia"/>
                <w:sz w:val="24"/>
              </w:rPr>
            </w:pPr>
            <w:r>
              <w:rPr>
                <w:rFonts w:hint="eastAsia" w:cs="宋体" w:asciiTheme="minorEastAsia" w:hAnsiTheme="minorEastAsia"/>
                <w:sz w:val="24"/>
              </w:rPr>
              <w:t>公共课</w:t>
            </w:r>
          </w:p>
        </w:tc>
        <w:tc>
          <w:tcPr>
            <w:tcW w:w="3650" w:type="dxa"/>
            <w:vAlign w:val="center"/>
          </w:tcPr>
          <w:p w14:paraId="632EDC20">
            <w:pPr>
              <w:spacing w:line="360" w:lineRule="auto"/>
              <w:ind w:left="0" w:leftChars="0"/>
              <w:contextualSpacing/>
              <w:jc w:val="center"/>
              <w:rPr>
                <w:rFonts w:hint="default" w:cs="宋体" w:asciiTheme="minorEastAsia" w:hAnsiTheme="minorEastAsia" w:eastAsiaTheme="minorEastAsia"/>
                <w:sz w:val="24"/>
                <w:lang w:val="en-US" w:eastAsia="zh-CN"/>
              </w:rPr>
            </w:pPr>
            <w:r>
              <w:rPr>
                <w:rFonts w:hint="eastAsia" w:ascii="宋体" w:hAnsi="宋体" w:cs="宋体"/>
                <w:szCs w:val="21"/>
              </w:rPr>
              <w:t>中国特色社会主义理论与实践研究</w:t>
            </w:r>
          </w:p>
        </w:tc>
        <w:tc>
          <w:tcPr>
            <w:tcW w:w="3311" w:type="dxa"/>
            <w:vAlign w:val="center"/>
          </w:tcPr>
          <w:p w14:paraId="1EA0F997">
            <w:pPr>
              <w:spacing w:line="360" w:lineRule="auto"/>
              <w:ind w:left="0" w:leftChars="0"/>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自然辩证法</w:t>
            </w:r>
          </w:p>
        </w:tc>
      </w:tr>
      <w:tr w14:paraId="0358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4570094A">
            <w:pPr>
              <w:spacing w:line="360" w:lineRule="auto"/>
              <w:ind w:left="0" w:leftChars="0"/>
              <w:contextualSpacing/>
              <w:jc w:val="center"/>
              <w:rPr>
                <w:rFonts w:cs="宋体" w:asciiTheme="minorEastAsia" w:hAnsiTheme="minorEastAsia"/>
                <w:sz w:val="24"/>
              </w:rPr>
            </w:pPr>
          </w:p>
        </w:tc>
        <w:tc>
          <w:tcPr>
            <w:tcW w:w="3650" w:type="dxa"/>
            <w:vAlign w:val="center"/>
          </w:tcPr>
          <w:p w14:paraId="39E01D36">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lang w:val="en-US" w:eastAsia="zh-CN"/>
              </w:rPr>
              <w:t>英语</w:t>
            </w:r>
          </w:p>
        </w:tc>
        <w:tc>
          <w:tcPr>
            <w:tcW w:w="3311" w:type="dxa"/>
            <w:vAlign w:val="center"/>
          </w:tcPr>
          <w:p w14:paraId="6A39C77A">
            <w:pPr>
              <w:spacing w:line="360" w:lineRule="auto"/>
              <w:ind w:left="0" w:leftChars="0"/>
              <w:contextualSpacing/>
              <w:jc w:val="center"/>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数值分析</w:t>
            </w:r>
          </w:p>
        </w:tc>
      </w:tr>
      <w:tr w14:paraId="0DFD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611638D2">
            <w:pPr>
              <w:spacing w:line="360" w:lineRule="auto"/>
              <w:ind w:left="0" w:leftChars="0" w:firstLine="240" w:firstLineChars="100"/>
              <w:contextualSpacing/>
              <w:jc w:val="center"/>
              <w:rPr>
                <w:rFonts w:hint="default" w:cs="宋体" w:asciiTheme="minorEastAsia" w:hAnsiTheme="minorEastAsia" w:eastAsiaTheme="minorEastAsia"/>
                <w:sz w:val="24"/>
                <w:lang w:val="en-US" w:eastAsia="zh-CN"/>
              </w:rPr>
            </w:pPr>
            <w:r>
              <w:rPr>
                <w:rFonts w:hint="eastAsia" w:cs="宋体" w:asciiTheme="minorEastAsia" w:hAnsiTheme="minorEastAsia"/>
                <w:sz w:val="24"/>
                <w:lang w:val="en-US" w:eastAsia="zh-CN"/>
              </w:rPr>
              <w:t>专业课</w:t>
            </w:r>
          </w:p>
        </w:tc>
        <w:tc>
          <w:tcPr>
            <w:tcW w:w="3650" w:type="dxa"/>
            <w:vAlign w:val="center"/>
          </w:tcPr>
          <w:p w14:paraId="2F6CDB58">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default" w:cs="宋体" w:asciiTheme="minorEastAsia" w:hAnsiTheme="minorEastAsia" w:eastAsiaTheme="minorEastAsia"/>
                <w:sz w:val="21"/>
                <w:szCs w:val="21"/>
                <w:lang w:val="en-US" w:eastAsia="zh-CN"/>
              </w:rPr>
              <w:t>城市交通规划</w:t>
            </w:r>
          </w:p>
        </w:tc>
        <w:tc>
          <w:tcPr>
            <w:tcW w:w="3311" w:type="dxa"/>
            <w:vAlign w:val="center"/>
          </w:tcPr>
          <w:p w14:paraId="7CDE217B">
            <w:pPr>
              <w:spacing w:line="360" w:lineRule="auto"/>
              <w:ind w:left="0" w:leftChars="0"/>
              <w:contextualSpacing/>
              <w:jc w:val="center"/>
              <w:rPr>
                <w:rFonts w:hint="eastAsia" w:cs="宋体" w:asciiTheme="minorEastAsia" w:hAnsiTheme="minorEastAsia" w:eastAsiaTheme="minorEastAsia"/>
                <w:sz w:val="21"/>
                <w:szCs w:val="21"/>
                <w:lang w:val="en-US" w:eastAsia="zh-CN"/>
              </w:rPr>
            </w:pPr>
            <w:r>
              <w:rPr>
                <w:rFonts w:hint="eastAsia" w:ascii="宋体" w:hAnsi="宋体" w:cs="宋体"/>
                <w:szCs w:val="21"/>
              </w:rPr>
              <w:t>高等桥梁</w:t>
            </w:r>
            <w:r>
              <w:rPr>
                <w:rFonts w:hint="eastAsia" w:ascii="宋体" w:hAnsi="宋体" w:cs="宋体"/>
                <w:szCs w:val="21"/>
                <w:lang w:val="en-US" w:eastAsia="zh-CN"/>
              </w:rPr>
              <w:t>理论</w:t>
            </w:r>
          </w:p>
        </w:tc>
      </w:tr>
      <w:tr w14:paraId="1C26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2669BD93">
            <w:pPr>
              <w:spacing w:line="360" w:lineRule="auto"/>
              <w:ind w:left="0" w:leftChars="0"/>
              <w:contextualSpacing/>
              <w:jc w:val="center"/>
              <w:rPr>
                <w:rFonts w:cs="宋体" w:asciiTheme="minorEastAsia" w:hAnsiTheme="minorEastAsia"/>
                <w:sz w:val="24"/>
              </w:rPr>
            </w:pPr>
          </w:p>
        </w:tc>
        <w:tc>
          <w:tcPr>
            <w:tcW w:w="3650" w:type="dxa"/>
            <w:vAlign w:val="center"/>
          </w:tcPr>
          <w:p w14:paraId="7929A161">
            <w:pPr>
              <w:spacing w:line="360" w:lineRule="auto"/>
              <w:ind w:left="0" w:leftChars="0"/>
              <w:contextualSpacing/>
              <w:jc w:val="center"/>
              <w:rPr>
                <w:rFonts w:cs="宋体" w:asciiTheme="minorEastAsia" w:hAnsiTheme="minorEastAsia"/>
                <w:sz w:val="21"/>
                <w:szCs w:val="21"/>
              </w:rPr>
            </w:pPr>
            <w:r>
              <w:rPr>
                <w:rFonts w:hint="eastAsia" w:ascii="宋体" w:hAnsi="宋体" w:cs="宋体"/>
                <w:szCs w:val="21"/>
              </w:rPr>
              <w:t>高等结构分析与软件应用</w:t>
            </w:r>
          </w:p>
        </w:tc>
        <w:tc>
          <w:tcPr>
            <w:tcW w:w="3311" w:type="dxa"/>
            <w:vAlign w:val="center"/>
          </w:tcPr>
          <w:p w14:paraId="388EB414">
            <w:pPr>
              <w:spacing w:line="360" w:lineRule="auto"/>
              <w:ind w:left="0" w:leftChars="0"/>
              <w:jc w:val="center"/>
              <w:rPr>
                <w:rFonts w:hint="default" w:cs="宋体" w:asciiTheme="minorEastAsia" w:hAnsiTheme="minorEastAsia"/>
                <w:sz w:val="21"/>
                <w:szCs w:val="21"/>
                <w:lang w:val="en-US" w:eastAsia="zh-CN"/>
              </w:rPr>
            </w:pPr>
            <w:r>
              <w:rPr>
                <w:rFonts w:hint="default" w:cs="宋体" w:asciiTheme="minorEastAsia" w:hAnsiTheme="minorEastAsia"/>
                <w:sz w:val="21"/>
                <w:szCs w:val="21"/>
                <w:lang w:val="en-US" w:eastAsia="zh-CN"/>
              </w:rPr>
              <w:t>城市规划与公共政策</w:t>
            </w:r>
          </w:p>
        </w:tc>
      </w:tr>
      <w:tr w14:paraId="6916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6FD13FAA">
            <w:pPr>
              <w:spacing w:line="360" w:lineRule="auto"/>
              <w:ind w:left="0" w:leftChars="0"/>
              <w:contextualSpacing/>
              <w:jc w:val="center"/>
              <w:rPr>
                <w:rFonts w:hint="eastAsia" w:cs="宋体" w:asciiTheme="minorEastAsia" w:hAnsiTheme="minorEastAsia" w:eastAsiaTheme="minorEastAsia"/>
                <w:sz w:val="24"/>
                <w:lang w:val="en-US" w:eastAsia="zh-CN"/>
              </w:rPr>
            </w:pPr>
            <w:r>
              <w:rPr>
                <w:rFonts w:hint="eastAsia" w:cs="宋体" w:asciiTheme="minorEastAsia" w:hAnsiTheme="minorEastAsia"/>
                <w:sz w:val="24"/>
                <w:lang w:val="en-US" w:eastAsia="zh-CN"/>
              </w:rPr>
              <w:t>选修课</w:t>
            </w:r>
          </w:p>
        </w:tc>
        <w:tc>
          <w:tcPr>
            <w:tcW w:w="3650" w:type="dxa"/>
            <w:vAlign w:val="center"/>
          </w:tcPr>
          <w:p w14:paraId="2B3CF277">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ascii="宋体" w:hAnsi="宋体" w:cs="宋体"/>
                <w:szCs w:val="21"/>
              </w:rPr>
              <w:t>现代隧道结构理论</w:t>
            </w:r>
          </w:p>
        </w:tc>
        <w:tc>
          <w:tcPr>
            <w:tcW w:w="3311" w:type="dxa"/>
            <w:vAlign w:val="center"/>
          </w:tcPr>
          <w:p w14:paraId="61FC245A">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 xml:space="preserve"> 断裂与损伤力学</w:t>
            </w:r>
          </w:p>
        </w:tc>
      </w:tr>
      <w:tr w14:paraId="3FA3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59F84297">
            <w:pPr>
              <w:spacing w:line="360" w:lineRule="auto"/>
              <w:ind w:left="0" w:leftChars="0"/>
              <w:contextualSpacing/>
              <w:jc w:val="center"/>
              <w:rPr>
                <w:rFonts w:cs="宋体" w:asciiTheme="minorEastAsia" w:hAnsiTheme="minorEastAsia"/>
                <w:sz w:val="24"/>
              </w:rPr>
            </w:pPr>
          </w:p>
        </w:tc>
        <w:tc>
          <w:tcPr>
            <w:tcW w:w="3650" w:type="dxa"/>
            <w:vAlign w:val="center"/>
          </w:tcPr>
          <w:p w14:paraId="1A3C34D7">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ascii="宋体" w:hAnsi="宋体" w:cs="宋体"/>
                <w:szCs w:val="21"/>
              </w:rPr>
              <w:t>复合材料学</w:t>
            </w:r>
          </w:p>
        </w:tc>
        <w:tc>
          <w:tcPr>
            <w:tcW w:w="3311" w:type="dxa"/>
            <w:vAlign w:val="center"/>
          </w:tcPr>
          <w:p w14:paraId="4D0ED32E">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结构动力学</w:t>
            </w:r>
          </w:p>
        </w:tc>
      </w:tr>
      <w:tr w14:paraId="4006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002C5A77">
            <w:pPr>
              <w:spacing w:line="360" w:lineRule="auto"/>
              <w:ind w:left="0" w:leftChars="0"/>
              <w:contextualSpacing/>
              <w:jc w:val="center"/>
              <w:rPr>
                <w:rFonts w:cs="宋体" w:asciiTheme="minorEastAsia" w:hAnsiTheme="minorEastAsia"/>
                <w:sz w:val="24"/>
              </w:rPr>
            </w:pPr>
          </w:p>
        </w:tc>
        <w:tc>
          <w:tcPr>
            <w:tcW w:w="3650" w:type="dxa"/>
            <w:vAlign w:val="center"/>
          </w:tcPr>
          <w:p w14:paraId="1D05BDF6">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桥梁与隧道试验检测技术</w:t>
            </w:r>
          </w:p>
        </w:tc>
        <w:tc>
          <w:tcPr>
            <w:tcW w:w="3311" w:type="dxa"/>
            <w:vAlign w:val="center"/>
          </w:tcPr>
          <w:p w14:paraId="19050CD2">
            <w:pPr>
              <w:spacing w:line="360" w:lineRule="auto"/>
              <w:ind w:left="0" w:leftChars="0"/>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国际城市研究与规划实践</w:t>
            </w:r>
          </w:p>
        </w:tc>
      </w:tr>
      <w:tr w14:paraId="0AE3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641169B4">
            <w:pPr>
              <w:spacing w:line="360" w:lineRule="auto"/>
              <w:ind w:left="0" w:leftChars="0"/>
              <w:contextualSpacing/>
              <w:jc w:val="center"/>
              <w:rPr>
                <w:rFonts w:cs="宋体" w:asciiTheme="minorEastAsia" w:hAnsiTheme="minorEastAsia"/>
                <w:sz w:val="24"/>
              </w:rPr>
            </w:pPr>
          </w:p>
        </w:tc>
        <w:tc>
          <w:tcPr>
            <w:tcW w:w="3650" w:type="dxa"/>
            <w:vAlign w:val="center"/>
          </w:tcPr>
          <w:p w14:paraId="09422988">
            <w:pPr>
              <w:spacing w:line="360" w:lineRule="auto"/>
              <w:ind w:left="0" w:leftChars="0"/>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城市研究中的计量方法公共管理</w:t>
            </w:r>
          </w:p>
        </w:tc>
        <w:tc>
          <w:tcPr>
            <w:tcW w:w="3311" w:type="dxa"/>
            <w:vAlign w:val="center"/>
          </w:tcPr>
          <w:p w14:paraId="280DD3BC">
            <w:pPr>
              <w:spacing w:line="360" w:lineRule="auto"/>
              <w:ind w:left="0" w:leftChars="0"/>
              <w:contextualSpacing/>
              <w:jc w:val="center"/>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数学模型</w:t>
            </w:r>
          </w:p>
        </w:tc>
      </w:tr>
      <w:tr w14:paraId="3E8D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12A4BB01">
            <w:pPr>
              <w:spacing w:line="360" w:lineRule="auto"/>
              <w:ind w:left="0" w:leftChars="0"/>
              <w:contextualSpacing/>
              <w:jc w:val="center"/>
              <w:rPr>
                <w:rFonts w:cs="宋体" w:asciiTheme="minorEastAsia" w:hAnsiTheme="minorEastAsia"/>
                <w:sz w:val="24"/>
              </w:rPr>
            </w:pPr>
          </w:p>
        </w:tc>
        <w:tc>
          <w:tcPr>
            <w:tcW w:w="3650" w:type="dxa"/>
            <w:vAlign w:val="center"/>
          </w:tcPr>
          <w:p w14:paraId="6FF28990">
            <w:pPr>
              <w:spacing w:line="360" w:lineRule="auto"/>
              <w:ind w:left="0" w:leftChars="0"/>
              <w:contextualSpacing/>
              <w:jc w:val="center"/>
              <w:rPr>
                <w:rFonts w:hint="default" w:ascii="宋体" w:hAnsi="宋体" w:cs="宋体" w:eastAsiaTheme="minorEastAsia"/>
                <w:szCs w:val="21"/>
                <w:lang w:val="en-US" w:eastAsia="zh-CN"/>
              </w:rPr>
            </w:pPr>
            <w:r>
              <w:rPr>
                <w:rFonts w:hint="eastAsia" w:ascii="宋体" w:hAnsi="宋体" w:cs="宋体"/>
                <w:szCs w:val="21"/>
                <w:lang w:val="en-US" w:eastAsia="zh-CN"/>
              </w:rPr>
              <w:t>数学物理方程</w:t>
            </w:r>
          </w:p>
        </w:tc>
        <w:tc>
          <w:tcPr>
            <w:tcW w:w="3311" w:type="dxa"/>
            <w:vAlign w:val="center"/>
          </w:tcPr>
          <w:p w14:paraId="4CFC4123">
            <w:pPr>
              <w:spacing w:line="360" w:lineRule="auto"/>
              <w:ind w:left="0" w:leftChars="0"/>
              <w:contextualSpacing/>
              <w:jc w:val="center"/>
              <w:rPr>
                <w:rFonts w:hint="default" w:ascii="宋体" w:hAnsi="宋体" w:cs="宋体" w:eastAsiaTheme="minorEastAsia"/>
                <w:szCs w:val="21"/>
                <w:lang w:val="en-US" w:eastAsia="zh-CN"/>
              </w:rPr>
            </w:pPr>
            <w:r>
              <w:rPr>
                <w:rFonts w:hint="eastAsia" w:ascii="宋体" w:hAnsi="宋体" w:cs="宋体"/>
                <w:szCs w:val="21"/>
                <w:lang w:val="en-US" w:eastAsia="zh-CN"/>
              </w:rPr>
              <w:t>矩阵论</w:t>
            </w:r>
          </w:p>
        </w:tc>
      </w:tr>
    </w:tbl>
    <w:p w14:paraId="62E9CF9E">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 xml:space="preserve">      （注：具体以学校课程安排实际为准）</w:t>
      </w:r>
    </w:p>
    <w:p w14:paraId="03E22398">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2133117C">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0D894CE8">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557E6F5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7FF5781B">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BEB25E0">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w:t>
      </w:r>
      <w:r>
        <w:rPr>
          <w:rFonts w:hint="eastAsia" w:ascii="宋体" w:hAnsi="宋体" w:eastAsia="宋体" w:cs="宋体"/>
          <w:b w:val="0"/>
          <w:bCs w:val="0"/>
          <w:color w:val="000000" w:themeColor="text1"/>
          <w:sz w:val="24"/>
          <w:szCs w:val="24"/>
          <w14:textFill>
            <w14:solidFill>
              <w14:schemeClr w14:val="tx1"/>
            </w14:solidFill>
          </w14:textFill>
        </w:rPr>
        <w:t>仅接收相邻专业理工科学生</w:t>
      </w:r>
      <w:r>
        <w:rPr>
          <w:rFonts w:hint="eastAsia" w:cs="宋体" w:asciiTheme="minorEastAsia" w:hAnsiTheme="minorEastAsia"/>
          <w:sz w:val="24"/>
          <w:lang w:val="en-US" w:eastAsia="zh-CN"/>
        </w:rPr>
        <w:t>在申请学位的专业或相近专业做出成绩，学术水平或专业技术水平已达到所申请学位专业的毕业研究生同等水平。</w:t>
      </w:r>
    </w:p>
    <w:p w14:paraId="7E20BC0D">
      <w:pPr>
        <w:spacing w:line="360" w:lineRule="auto"/>
        <w:ind w:firstLine="482" w:firstLineChars="200"/>
        <w:contextualSpacing/>
        <w:jc w:val="left"/>
        <w:rPr>
          <w:rFonts w:hint="eastAsia" w:cs="宋体" w:asciiTheme="minorEastAsia" w:hAnsiTheme="minorEastAsia"/>
          <w:b/>
          <w:bCs/>
          <w:color w:val="FF0000"/>
          <w:sz w:val="24"/>
          <w:lang w:val="en-US" w:eastAsia="zh-CN"/>
        </w:rPr>
      </w:pPr>
      <w:bookmarkStart w:id="0" w:name="_GoBack"/>
      <w:bookmarkEnd w:id="0"/>
    </w:p>
    <w:p w14:paraId="45DFD8BE">
      <w:pPr>
        <w:spacing w:line="360" w:lineRule="auto"/>
        <w:contextualSpacing/>
        <w:jc w:val="left"/>
        <w:rPr>
          <w:rFonts w:cs="宋体" w:asciiTheme="minorEastAsia" w:hAnsiTheme="minorEastAsia"/>
          <w:sz w:val="24"/>
        </w:rPr>
      </w:pPr>
    </w:p>
    <w:p w14:paraId="0F390537">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7BC45C77">
      <w:pPr>
        <w:spacing w:line="360" w:lineRule="auto"/>
        <w:contextualSpacing/>
        <w:jc w:val="left"/>
        <w:rPr>
          <w:rFonts w:hint="eastAsia" w:cs="宋体" w:asciiTheme="minorEastAsia" w:hAnsiTheme="minorEastAsia"/>
          <w:color w:val="000000" w:themeColor="text1"/>
          <w:sz w:val="24"/>
          <w:lang w:eastAsia="zh-CN"/>
          <w14:textFill>
            <w14:solidFill>
              <w14:schemeClr w14:val="tx1"/>
            </w14:solidFill>
          </w14:textFill>
        </w:rPr>
      </w:pPr>
      <w:r>
        <w:rPr>
          <w:rFonts w:hint="eastAsia" w:cs="宋体" w:asciiTheme="minorEastAsia" w:hAnsiTheme="minorEastAsia"/>
          <w:color w:val="000000" w:themeColor="text1"/>
          <w:sz w:val="24"/>
          <w:lang w:val="en-US" w:eastAsia="zh-CN"/>
          <w14:textFill>
            <w14:solidFill>
              <w14:schemeClr w14:val="tx1"/>
            </w14:solidFill>
          </w14:textFill>
        </w:rPr>
        <w:t>1、</w:t>
      </w:r>
      <w:r>
        <w:rPr>
          <w:rFonts w:hint="eastAsia" w:cs="宋体" w:asciiTheme="minorEastAsia" w:hAnsiTheme="minorEastAsia"/>
          <w:color w:val="000000" w:themeColor="text1"/>
          <w:sz w:val="24"/>
          <w14:textFill>
            <w14:solidFill>
              <w14:schemeClr w14:val="tx1"/>
            </w14:solidFill>
          </w14:textFill>
        </w:rPr>
        <w:t>课程学费</w:t>
      </w:r>
      <w:r>
        <w:rPr>
          <w:rFonts w:hint="eastAsia" w:cs="宋体" w:asciiTheme="minorEastAsia" w:hAnsiTheme="minorEastAsia"/>
          <w:color w:val="000000" w:themeColor="text1"/>
          <w:sz w:val="24"/>
          <w:lang w:eastAsia="zh-CN"/>
          <w14:textFill>
            <w14:solidFill>
              <w14:schemeClr w14:val="tx1"/>
            </w14:solidFill>
          </w14:textFill>
        </w:rPr>
        <w:t>：</w:t>
      </w:r>
      <w:r>
        <w:rPr>
          <w:rFonts w:hint="eastAsia" w:cs="宋体" w:asciiTheme="minorEastAsia" w:hAnsiTheme="minorEastAsia"/>
          <w:color w:val="000000" w:themeColor="text1"/>
          <w:sz w:val="24"/>
          <w14:textFill>
            <w14:solidFill>
              <w14:schemeClr w14:val="tx1"/>
            </w14:solidFill>
          </w14:textFill>
        </w:rPr>
        <w:t>1</w:t>
      </w:r>
      <w:r>
        <w:rPr>
          <w:rFonts w:hint="eastAsia" w:cs="宋体" w:asciiTheme="minorEastAsia" w:hAnsiTheme="minorEastAsia"/>
          <w:color w:val="000000" w:themeColor="text1"/>
          <w:sz w:val="24"/>
          <w:lang w:val="en-US" w:eastAsia="zh-CN"/>
          <w14:textFill>
            <w14:solidFill>
              <w14:schemeClr w14:val="tx1"/>
            </w14:solidFill>
          </w14:textFill>
        </w:rPr>
        <w:t>61</w:t>
      </w:r>
      <w:r>
        <w:rPr>
          <w:rFonts w:hint="eastAsia" w:cs="宋体" w:asciiTheme="minorEastAsia" w:hAnsiTheme="minorEastAsia"/>
          <w:color w:val="000000" w:themeColor="text1"/>
          <w:sz w:val="24"/>
          <w14:textFill>
            <w14:solidFill>
              <w14:schemeClr w14:val="tx1"/>
            </w14:solidFill>
          </w14:textFill>
        </w:rPr>
        <w:t>00元</w:t>
      </w:r>
      <w:r>
        <w:rPr>
          <w:rFonts w:hint="eastAsia" w:cs="宋体" w:asciiTheme="minorEastAsia" w:hAnsiTheme="minorEastAsia"/>
          <w:color w:val="000000" w:themeColor="text1"/>
          <w:sz w:val="24"/>
          <w:lang w:eastAsia="zh-CN"/>
          <w14:textFill>
            <w14:solidFill>
              <w14:schemeClr w14:val="tx1"/>
            </w14:solidFill>
          </w14:textFill>
        </w:rPr>
        <w:t>；</w:t>
      </w:r>
    </w:p>
    <w:p w14:paraId="1ED56D7B">
      <w:pPr>
        <w:spacing w:line="360" w:lineRule="auto"/>
        <w:contextualSpacing/>
        <w:jc w:val="left"/>
        <w:rPr>
          <w:rFonts w:hint="eastAsia" w:cs="宋体" w:asciiTheme="minorEastAsia" w:hAnsiTheme="minorEastAsia"/>
          <w:color w:val="000000" w:themeColor="text1"/>
          <w:sz w:val="24"/>
          <w:lang w:eastAsia="zh-CN"/>
          <w14:textFill>
            <w14:solidFill>
              <w14:schemeClr w14:val="tx1"/>
            </w14:solidFill>
          </w14:textFill>
        </w:rPr>
      </w:pPr>
      <w:r>
        <w:rPr>
          <w:rFonts w:hint="eastAsia" w:cs="宋体" w:asciiTheme="minorEastAsia" w:hAnsiTheme="minorEastAsia"/>
          <w:color w:val="000000" w:themeColor="text1"/>
          <w:sz w:val="24"/>
          <w:lang w:val="en-US" w:eastAsia="zh-CN"/>
          <w14:textFill>
            <w14:solidFill>
              <w14:schemeClr w14:val="tx1"/>
            </w14:solidFill>
          </w14:textFill>
        </w:rPr>
        <w:t>2、</w:t>
      </w:r>
      <w:r>
        <w:rPr>
          <w:rFonts w:hint="eastAsia" w:cs="宋体" w:asciiTheme="minorEastAsia" w:hAnsiTheme="minorEastAsia"/>
          <w:color w:val="000000" w:themeColor="text1"/>
          <w:sz w:val="24"/>
          <w14:textFill>
            <w14:solidFill>
              <w14:schemeClr w14:val="tx1"/>
            </w14:solidFill>
          </w14:textFill>
        </w:rPr>
        <w:t>论文答辩费</w:t>
      </w:r>
      <w:r>
        <w:rPr>
          <w:rFonts w:hint="eastAsia" w:cs="宋体" w:asciiTheme="minorEastAsia" w:hAnsiTheme="minorEastAsia"/>
          <w:color w:val="000000" w:themeColor="text1"/>
          <w:sz w:val="24"/>
          <w:lang w:eastAsia="zh-CN"/>
          <w14:textFill>
            <w14:solidFill>
              <w14:schemeClr w14:val="tx1"/>
            </w14:solidFill>
          </w14:textFill>
        </w:rPr>
        <w:t>：</w:t>
      </w:r>
      <w:r>
        <w:rPr>
          <w:rFonts w:hint="eastAsia" w:cs="宋体" w:asciiTheme="minorEastAsia" w:hAnsiTheme="minorEastAsia"/>
          <w:color w:val="000000" w:themeColor="text1"/>
          <w:sz w:val="24"/>
          <w14:textFill>
            <w14:solidFill>
              <w14:schemeClr w14:val="tx1"/>
            </w14:solidFill>
          </w14:textFill>
        </w:rPr>
        <w:t>1</w:t>
      </w:r>
      <w:r>
        <w:rPr>
          <w:rFonts w:hint="eastAsia" w:cs="宋体" w:asciiTheme="minorEastAsia" w:hAnsiTheme="minorEastAsia"/>
          <w:color w:val="000000" w:themeColor="text1"/>
          <w:sz w:val="24"/>
          <w:lang w:val="en-US" w:eastAsia="zh-CN"/>
          <w14:textFill>
            <w14:solidFill>
              <w14:schemeClr w14:val="tx1"/>
            </w14:solidFill>
          </w14:textFill>
        </w:rPr>
        <w:t>5</w:t>
      </w:r>
      <w:r>
        <w:rPr>
          <w:rFonts w:hint="eastAsia" w:cs="宋体" w:asciiTheme="minorEastAsia" w:hAnsiTheme="minorEastAsia"/>
          <w:color w:val="000000" w:themeColor="text1"/>
          <w:sz w:val="24"/>
          <w14:textFill>
            <w14:solidFill>
              <w14:schemeClr w14:val="tx1"/>
            </w14:solidFill>
          </w14:textFill>
        </w:rPr>
        <w:t>000元</w:t>
      </w:r>
      <w:r>
        <w:rPr>
          <w:rFonts w:hint="eastAsia" w:cs="宋体" w:asciiTheme="minorEastAsia" w:hAnsiTheme="minorEastAsia"/>
          <w:color w:val="000000" w:themeColor="text1"/>
          <w:sz w:val="24"/>
          <w:lang w:eastAsia="zh-CN"/>
          <w14:textFill>
            <w14:solidFill>
              <w14:schemeClr w14:val="tx1"/>
            </w14:solidFill>
          </w14:textFill>
        </w:rPr>
        <w:t>。</w:t>
      </w:r>
    </w:p>
    <w:p w14:paraId="3EF515EC">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627BF1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4E7FD9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7C487A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70DA6BF">
      <w:pPr>
        <w:spacing w:line="360" w:lineRule="auto"/>
        <w:contextualSpacing/>
        <w:jc w:val="left"/>
        <w:rPr>
          <w:rFonts w:cs="宋体" w:asciiTheme="minorEastAsia" w:hAnsiTheme="minorEastAsia"/>
          <w:sz w:val="24"/>
        </w:rPr>
      </w:pPr>
    </w:p>
    <w:p w14:paraId="44A48599">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0353ECDD">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4B1CC58A">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69324FB2">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253A29C0">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61FBA91F">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35F3BAD2">
      <w:pPr>
        <w:spacing w:line="360" w:lineRule="auto"/>
        <w:contextualSpacing/>
        <w:jc w:val="left"/>
        <w:rPr>
          <w:rFonts w:cs="宋体" w:asciiTheme="minorEastAsia" w:hAnsiTheme="minorEastAsia"/>
          <w:sz w:val="24"/>
        </w:rPr>
      </w:pPr>
    </w:p>
    <w:p w14:paraId="52590AB7">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071A11D7">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BFD65EB">
      <w:pPr>
        <w:spacing w:line="360" w:lineRule="auto"/>
        <w:ind w:firstLine="480" w:firstLineChars="200"/>
        <w:contextualSpacing/>
        <w:jc w:val="left"/>
        <w:rPr>
          <w:rFonts w:hint="eastAsia" w:cs="宋体" w:asciiTheme="minorEastAsia" w:hAnsiTheme="minorEastAsia"/>
          <w:sz w:val="24"/>
        </w:rPr>
      </w:pPr>
    </w:p>
    <w:p w14:paraId="72D1FE92">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7755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435728"/>
    <w:rsid w:val="04FB093B"/>
    <w:rsid w:val="08B57300"/>
    <w:rsid w:val="0B673357"/>
    <w:rsid w:val="0DC16160"/>
    <w:rsid w:val="162A63E6"/>
    <w:rsid w:val="1F026649"/>
    <w:rsid w:val="229A3DC4"/>
    <w:rsid w:val="30331882"/>
    <w:rsid w:val="34084AA0"/>
    <w:rsid w:val="3BE155F6"/>
    <w:rsid w:val="4361784D"/>
    <w:rsid w:val="4EA60DAF"/>
    <w:rsid w:val="508605D9"/>
    <w:rsid w:val="56D96AA1"/>
    <w:rsid w:val="58595CB6"/>
    <w:rsid w:val="5A8A1AC4"/>
    <w:rsid w:val="67630708"/>
    <w:rsid w:val="6A4B4337"/>
    <w:rsid w:val="71220043"/>
    <w:rsid w:val="7DBF4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autoRedefine/>
    <w:qFormat/>
    <w:uiPriority w:val="0"/>
    <w:rPr>
      <w:b/>
      <w:bCs/>
    </w:rPr>
  </w:style>
  <w:style w:type="character" w:styleId="9">
    <w:name w:val="FollowedHyperlink"/>
    <w:basedOn w:val="7"/>
    <w:uiPriority w:val="0"/>
    <w:rPr>
      <w:color w:val="337AB7"/>
      <w:u w:val="none"/>
    </w:rPr>
  </w:style>
  <w:style w:type="character" w:styleId="10">
    <w:name w:val="HTML Definition"/>
    <w:basedOn w:val="7"/>
    <w:uiPriority w:val="0"/>
    <w:rPr>
      <w:i/>
      <w:iCs/>
    </w:rPr>
  </w:style>
  <w:style w:type="character" w:styleId="11">
    <w:name w:val="Hyperlink"/>
    <w:basedOn w:val="7"/>
    <w:uiPriority w:val="0"/>
    <w:rPr>
      <w:color w:val="337AB7"/>
      <w:u w:val="none"/>
    </w:rPr>
  </w:style>
  <w:style w:type="character" w:styleId="12">
    <w:name w:val="HTML Code"/>
    <w:basedOn w:val="7"/>
    <w:uiPriority w:val="0"/>
    <w:rPr>
      <w:rFonts w:hint="default" w:ascii="Consolas" w:hAnsi="Consolas" w:eastAsia="Consolas" w:cs="Consolas"/>
      <w:color w:val="C7254E"/>
      <w:sz w:val="21"/>
      <w:szCs w:val="21"/>
      <w:shd w:val="clear" w:fill="F9F2F4"/>
    </w:rPr>
  </w:style>
  <w:style w:type="character" w:styleId="13">
    <w:name w:val="HTML Keyboard"/>
    <w:basedOn w:val="7"/>
    <w:uiPriority w:val="0"/>
    <w:rPr>
      <w:rFonts w:ascii="Consolas" w:hAnsi="Consolas" w:eastAsia="Consolas" w:cs="Consolas"/>
      <w:color w:val="FFFFFF"/>
      <w:sz w:val="21"/>
      <w:szCs w:val="21"/>
      <w:shd w:val="clear" w:fill="333333"/>
    </w:rPr>
  </w:style>
  <w:style w:type="character" w:styleId="14">
    <w:name w:val="HTML Sample"/>
    <w:basedOn w:val="7"/>
    <w:uiPriority w:val="0"/>
    <w:rPr>
      <w:rFonts w:hint="default" w:ascii="Consolas" w:hAnsi="Consolas" w:eastAsia="Consolas" w:cs="Consolas"/>
      <w:sz w:val="21"/>
      <w:szCs w:val="21"/>
    </w:rPr>
  </w:style>
  <w:style w:type="character" w:customStyle="1" w:styleId="15">
    <w:name w:val="name"/>
    <w:basedOn w:val="7"/>
    <w:uiPriority w:val="0"/>
    <w:rPr>
      <w:color w:val="FFFFFF"/>
      <w:sz w:val="33"/>
      <w:szCs w:val="33"/>
    </w:rPr>
  </w:style>
  <w:style w:type="character" w:customStyle="1" w:styleId="16">
    <w:name w:val="add"/>
    <w:basedOn w:val="7"/>
    <w:uiPriority w:val="0"/>
  </w:style>
  <w:style w:type="character" w:customStyle="1" w:styleId="17">
    <w:name w:val="sjsk"/>
    <w:basedOn w:val="7"/>
    <w:uiPriority w:val="0"/>
  </w:style>
  <w:style w:type="character" w:customStyle="1" w:styleId="18">
    <w:name w:val="tsxm"/>
    <w:basedOn w:val="7"/>
    <w:uiPriority w:val="0"/>
    <w:rPr>
      <w:bdr w:val="single" w:color="337AB7"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1692</Words>
  <Characters>1714</Characters>
  <Lines>0</Lines>
  <Paragraphs>0</Paragraphs>
  <TotalTime>0</TotalTime>
  <ScaleCrop>false</ScaleCrop>
  <LinksUpToDate>false</LinksUpToDate>
  <CharactersWithSpaces>1722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2026-02-12T09:03:43Z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F9FAF15EA73141B489204D6B6DC480B0_13</vt:lpwstr>
  </property>
  <property fmtid="{D5CDD505-2E9C-101B-9397-08002B2CF9AE}" pid="4" name="KSOTemplateDocerSaveRecord">
    <vt:lpwstr>eyJoZGlkIjoiNGQ5ODQ5N2Q1NmI0ZDAwYTJiMTcyMmU3ZjhhMWE4NmEifQ==</vt:lpwstr>
  </property>
</Properties>
</file>