
<file path=[Content_Types].xml><?xml version="1.0" encoding="utf-8"?>
<Types xmlns="http://schemas.openxmlformats.org/package/2006/content-types">
  <Default Extension="jpeg" ContentType="image/jpeg"/>
  <Default Extension="JPG" ContentType="image/.jp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B5D7FCA">
      <w:pPr>
        <w:spacing w:line="360" w:lineRule="auto"/>
        <w:contextualSpacing/>
        <w:jc w:val="center"/>
        <w:rPr>
          <w:rFonts w:hint="eastAsia" w:cs="宋体" w:asciiTheme="majorEastAsia" w:hAnsiTheme="majorEastAsia" w:eastAsiaTheme="majorEastAsia"/>
          <w:b/>
          <w:bCs/>
          <w:sz w:val="36"/>
          <w:szCs w:val="36"/>
        </w:rPr>
      </w:pPr>
      <w:r>
        <w:drawing>
          <wp:inline distT="0" distB="0" distL="114300" distR="114300">
            <wp:extent cx="4281170" cy="1411605"/>
            <wp:effectExtent l="0" t="0" r="5080" b="1714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5"/>
                    <a:stretch>
                      <a:fillRect/>
                    </a:stretch>
                  </pic:blipFill>
                  <pic:spPr>
                    <a:xfrm>
                      <a:off x="0" y="0"/>
                      <a:ext cx="4281170" cy="1411605"/>
                    </a:xfrm>
                    <a:prstGeom prst="rect">
                      <a:avLst/>
                    </a:prstGeom>
                    <a:noFill/>
                    <a:ln>
                      <a:noFill/>
                    </a:ln>
                  </pic:spPr>
                </pic:pic>
              </a:graphicData>
            </a:graphic>
          </wp:inline>
        </w:drawing>
      </w:r>
    </w:p>
    <w:p w14:paraId="1978740E">
      <w:pPr>
        <w:spacing w:line="360" w:lineRule="auto"/>
        <w:contextualSpacing/>
        <w:jc w:val="center"/>
        <w:rPr>
          <w:rFonts w:hint="eastAsia" w:cs="宋体" w:asciiTheme="majorEastAsia" w:hAnsiTheme="majorEastAsia" w:eastAsiaTheme="majorEastAsia"/>
          <w:b/>
          <w:bCs/>
          <w:sz w:val="36"/>
          <w:szCs w:val="36"/>
          <w:lang w:val="en-US" w:eastAsia="zh-CN"/>
        </w:rPr>
      </w:pPr>
      <w:r>
        <w:rPr>
          <w:rFonts w:hint="eastAsia" w:cs="宋体" w:asciiTheme="majorEastAsia" w:hAnsiTheme="majorEastAsia" w:eastAsiaTheme="majorEastAsia"/>
          <w:b/>
          <w:bCs/>
          <w:sz w:val="36"/>
          <w:szCs w:val="36"/>
        </w:rPr>
        <w:t>南昌大学化学化工学院</w:t>
      </w:r>
      <w:r>
        <w:rPr>
          <w:rFonts w:hint="eastAsia" w:cs="宋体" w:asciiTheme="majorEastAsia" w:hAnsiTheme="majorEastAsia" w:eastAsiaTheme="majorEastAsia"/>
          <w:b/>
          <w:bCs/>
          <w:sz w:val="36"/>
          <w:szCs w:val="36"/>
          <w:lang w:val="en-US" w:eastAsia="zh-CN"/>
        </w:rPr>
        <w:t>有机</w:t>
      </w:r>
      <w:r>
        <w:rPr>
          <w:rFonts w:hint="eastAsia" w:cs="宋体" w:asciiTheme="majorEastAsia" w:hAnsiTheme="majorEastAsia" w:eastAsiaTheme="majorEastAsia"/>
          <w:b/>
          <w:bCs/>
          <w:sz w:val="36"/>
          <w:szCs w:val="36"/>
        </w:rPr>
        <w:t>化学</w:t>
      </w:r>
      <w:r>
        <w:rPr>
          <w:rFonts w:hint="eastAsia" w:cs="宋体" w:asciiTheme="majorEastAsia" w:hAnsiTheme="majorEastAsia" w:eastAsiaTheme="majorEastAsia"/>
          <w:b/>
          <w:bCs/>
          <w:sz w:val="36"/>
          <w:szCs w:val="36"/>
          <w:lang w:val="en-US" w:eastAsia="zh-CN"/>
        </w:rPr>
        <w:t>专业</w:t>
      </w:r>
    </w:p>
    <w:p w14:paraId="17A4EC26">
      <w:pPr>
        <w:spacing w:line="360" w:lineRule="auto"/>
        <w:contextualSpacing/>
        <w:jc w:val="center"/>
        <w:rPr>
          <w:rFonts w:hint="eastAsia" w:cs="宋体" w:asciiTheme="majorEastAsia" w:hAnsiTheme="majorEastAsia" w:eastAsiaTheme="majorEastAsia"/>
          <w:b/>
          <w:bCs/>
          <w:sz w:val="36"/>
          <w:szCs w:val="36"/>
        </w:rPr>
      </w:pPr>
      <w:r>
        <w:rPr>
          <w:rFonts w:hint="eastAsia" w:cs="宋体" w:asciiTheme="majorEastAsia" w:hAnsiTheme="majorEastAsia" w:eastAsiaTheme="majorEastAsia"/>
          <w:b/>
          <w:bCs/>
          <w:sz w:val="36"/>
          <w:szCs w:val="36"/>
        </w:rPr>
        <w:t>同等学力申请硕士学位招生简章</w:t>
      </w:r>
    </w:p>
    <w:p w14:paraId="057DAAB6">
      <w:pPr>
        <w:tabs>
          <w:tab w:val="left" w:pos="2820"/>
        </w:tabs>
        <w:spacing w:line="360" w:lineRule="auto"/>
        <w:contextualSpacing/>
        <w:jc w:val="left"/>
        <w:rPr>
          <w:rFonts w:cs="宋体" w:asciiTheme="minorEastAsia" w:hAnsiTheme="minorEastAsia"/>
          <w:sz w:val="24"/>
        </w:rPr>
      </w:pPr>
    </w:p>
    <w:p w14:paraId="193C9ED8">
      <w:pPr>
        <w:spacing w:line="360" w:lineRule="auto"/>
        <w:contextualSpacing/>
        <w:jc w:val="left"/>
        <w:rPr>
          <w:rFonts w:hint="default" w:cs="宋体" w:asciiTheme="minorEastAsia" w:hAnsiTheme="minorEastAsia" w:eastAsiaTheme="minorEastAsia"/>
          <w:b/>
          <w:bCs/>
          <w:color w:val="000000" w:themeColor="text1"/>
          <w:sz w:val="24"/>
          <w:lang w:val="en-US" w:eastAsia="zh-CN"/>
          <w14:textFill>
            <w14:solidFill>
              <w14:schemeClr w14:val="tx1"/>
            </w14:solidFill>
          </w14:textFill>
        </w:rPr>
      </w:pPr>
      <w:r>
        <w:rPr>
          <w:rFonts w:hint="eastAsia" w:cs="宋体" w:asciiTheme="minorEastAsia" w:hAnsiTheme="minorEastAsia"/>
          <w:b/>
          <w:bCs/>
          <w:color w:val="000000" w:themeColor="text1"/>
          <w:sz w:val="24"/>
          <w14:textFill>
            <w14:solidFill>
              <w14:schemeClr w14:val="tx1"/>
            </w14:solidFill>
          </w14:textFill>
        </w:rPr>
        <w:t>一、</w:t>
      </w:r>
      <w:r>
        <w:rPr>
          <w:rFonts w:hint="eastAsia" w:cs="宋体" w:asciiTheme="minorEastAsia" w:hAnsiTheme="minorEastAsia"/>
          <w:b/>
          <w:bCs/>
          <w:color w:val="000000" w:themeColor="text1"/>
          <w:sz w:val="24"/>
          <w:lang w:val="en-US" w:eastAsia="zh-CN"/>
          <w14:textFill>
            <w14:solidFill>
              <w14:schemeClr w14:val="tx1"/>
            </w14:solidFill>
          </w14:textFill>
        </w:rPr>
        <w:t>院校简介：</w:t>
      </w:r>
    </w:p>
    <w:p w14:paraId="303BF2AB">
      <w:pPr>
        <w:spacing w:line="360" w:lineRule="auto"/>
        <w:ind w:firstLine="480" w:firstLineChars="200"/>
        <w:contextualSpacing/>
        <w:jc w:val="left"/>
        <w:rPr>
          <w:rFonts w:hint="eastAsia" w:cs="宋体" w:asciiTheme="minorEastAsia" w:hAnsiTheme="minorEastAsia"/>
          <w:sz w:val="24"/>
        </w:rPr>
      </w:pPr>
      <w:r>
        <w:rPr>
          <w:rFonts w:hint="eastAsia" w:cs="宋体" w:asciiTheme="minorEastAsia" w:hAnsiTheme="minorEastAsia"/>
          <w:sz w:val="24"/>
        </w:rPr>
        <w:t>南昌大学是一所“文理工医渗透、学研产用结合”的综合性大学，是江西省人民政府和教育部共建的国家“211工程”重点建设大学。学校现有8个学术类博士学位授权一级学科，45个学术类硕士学位授权一级学科，1种博士专业学位授权和20种硕士专业学位授权以及在职人员以同等学力申请硕士学位授予权。</w:t>
      </w:r>
    </w:p>
    <w:p w14:paraId="04252A47">
      <w:pPr>
        <w:spacing w:line="360" w:lineRule="auto"/>
        <w:ind w:firstLine="480" w:firstLineChars="200"/>
        <w:contextualSpacing/>
        <w:jc w:val="left"/>
        <w:rPr>
          <w:rFonts w:hint="eastAsia" w:ascii="宋体" w:hAnsi="宋体" w:eastAsia="宋体" w:cs="宋体"/>
          <w:i w:val="0"/>
          <w:iCs w:val="0"/>
          <w:caps w:val="0"/>
          <w:color w:val="000000"/>
          <w:spacing w:val="0"/>
          <w:sz w:val="24"/>
          <w:szCs w:val="24"/>
          <w:shd w:val="clear" w:fill="FFFFFF"/>
          <w:lang w:val="en-US" w:eastAsia="zh-CN"/>
        </w:rPr>
      </w:pPr>
      <w:r>
        <w:rPr>
          <w:rFonts w:hint="eastAsia" w:ascii="宋体" w:hAnsi="宋体" w:eastAsia="宋体" w:cs="宋体"/>
          <w:i w:val="0"/>
          <w:iCs w:val="0"/>
          <w:caps w:val="0"/>
          <w:color w:val="000000"/>
          <w:spacing w:val="0"/>
          <w:sz w:val="24"/>
          <w:szCs w:val="24"/>
          <w:shd w:val="clear" w:fill="FFFFFF"/>
          <w:lang w:val="en-US" w:eastAsia="zh-CN"/>
        </w:rPr>
        <w:t>南昌大学化学化工学院肇始于1958年成立的江西大学化学系和江西工学院化工系，是学校最早设立的理工院系之一。学院现有化学、应用化学、化学工程与工艺和制药工程4个省级一流本科专业，其中，应用化学、化学工程与工艺、制药工程3个专业先后入选国家一流本科专业建设点，化学、应用化学入选首批江西省5星级专业；拥有化学、化学工程与技术2个一级学科博士学位授权点；化学、化学工程与技术2个博士后科研流动站；材料与化工（化学工程）、生物与医药（制药工程）2个专业硕士学位授权点。</w:t>
      </w:r>
    </w:p>
    <w:p w14:paraId="08C7F20A">
      <w:pPr>
        <w:spacing w:line="360" w:lineRule="auto"/>
        <w:ind w:firstLine="480" w:firstLineChars="200"/>
        <w:contextualSpacing/>
        <w:jc w:val="left"/>
        <w:rPr>
          <w:rFonts w:hint="eastAsia" w:ascii="宋体" w:hAnsi="宋体" w:eastAsia="宋体" w:cs="宋体"/>
          <w:i w:val="0"/>
          <w:iCs w:val="0"/>
          <w:caps w:val="0"/>
          <w:color w:val="000000"/>
          <w:spacing w:val="0"/>
          <w:sz w:val="24"/>
          <w:szCs w:val="24"/>
          <w:shd w:val="clear" w:fill="FFFFFF"/>
          <w:lang w:val="en-US" w:eastAsia="zh-CN"/>
        </w:rPr>
      </w:pPr>
      <w:r>
        <w:rPr>
          <w:rFonts w:hint="eastAsia" w:ascii="宋体" w:hAnsi="宋体" w:eastAsia="宋体" w:cs="宋体"/>
          <w:i w:val="0"/>
          <w:iCs w:val="0"/>
          <w:caps w:val="0"/>
          <w:color w:val="000000"/>
          <w:spacing w:val="0"/>
          <w:sz w:val="24"/>
          <w:szCs w:val="24"/>
          <w:shd w:val="clear" w:fill="FFFFFF"/>
          <w:lang w:val="en-US" w:eastAsia="zh-CN"/>
        </w:rPr>
        <w:t>南昌大学化学化工学院是中国化学会理事单位和江西省化学化工学会理事长单位。南昌大学化学学科为江西省高校学科联盟首批牵头学科；化学工程与技术是江西省高水平重点学科，并入选江西省高水平大学建设方案。</w:t>
      </w:r>
    </w:p>
    <w:p w14:paraId="16DDC210">
      <w:pPr>
        <w:spacing w:line="360" w:lineRule="auto"/>
        <w:ind w:firstLine="480" w:firstLineChars="200"/>
        <w:contextualSpacing/>
        <w:jc w:val="left"/>
        <w:rPr>
          <w:rFonts w:hint="eastAsia" w:ascii="宋体" w:hAnsi="宋体" w:eastAsia="宋体" w:cs="宋体"/>
          <w:i w:val="0"/>
          <w:iCs w:val="0"/>
          <w:caps w:val="0"/>
          <w:color w:val="000000"/>
          <w:spacing w:val="0"/>
          <w:sz w:val="24"/>
          <w:szCs w:val="24"/>
          <w:shd w:val="clear" w:fill="FFFFFF"/>
        </w:rPr>
      </w:pPr>
      <w:r>
        <w:rPr>
          <w:rFonts w:hint="eastAsia" w:ascii="宋体" w:hAnsi="宋体" w:eastAsia="宋体" w:cs="宋体"/>
          <w:i w:val="0"/>
          <w:iCs w:val="0"/>
          <w:caps w:val="0"/>
          <w:color w:val="000000"/>
          <w:spacing w:val="0"/>
          <w:sz w:val="24"/>
          <w:szCs w:val="24"/>
          <w:shd w:val="clear" w:fill="FFFFFF"/>
          <w:lang w:val="en-US" w:eastAsia="zh-CN"/>
        </w:rPr>
        <w:t>为适应全国社会经济发展需求，培养更多化学领域高层次专业型高端人才。</w:t>
      </w:r>
      <w:bookmarkStart w:id="0" w:name="_GoBack"/>
      <w:bookmarkEnd w:id="0"/>
      <w:r>
        <w:rPr>
          <w:rFonts w:hint="eastAsia" w:ascii="宋体" w:hAnsi="宋体" w:eastAsia="宋体" w:cs="宋体"/>
          <w:i w:val="0"/>
          <w:iCs w:val="0"/>
          <w:caps w:val="0"/>
          <w:color w:val="000000"/>
          <w:spacing w:val="0"/>
          <w:sz w:val="24"/>
          <w:szCs w:val="24"/>
          <w:shd w:val="clear" w:fill="FFFFFF"/>
        </w:rPr>
        <w:t>南昌大学</w:t>
      </w:r>
      <w:r>
        <w:rPr>
          <w:rFonts w:hint="eastAsia" w:ascii="宋体" w:hAnsi="宋体" w:eastAsia="宋体" w:cs="宋体"/>
          <w:i w:val="0"/>
          <w:iCs w:val="0"/>
          <w:caps w:val="0"/>
          <w:color w:val="000000"/>
          <w:spacing w:val="0"/>
          <w:sz w:val="24"/>
          <w:szCs w:val="24"/>
          <w:shd w:val="clear" w:fill="FFFFFF"/>
          <w:lang w:val="en-US" w:eastAsia="zh-CN"/>
        </w:rPr>
        <w:t>化学化工学院决定面向全国开设有机</w:t>
      </w:r>
      <w:r>
        <w:rPr>
          <w:rFonts w:hint="eastAsia" w:ascii="宋体" w:hAnsi="宋体" w:eastAsia="宋体" w:cs="宋体"/>
          <w:i w:val="0"/>
          <w:iCs w:val="0"/>
          <w:caps w:val="0"/>
          <w:color w:val="auto"/>
          <w:spacing w:val="0"/>
          <w:sz w:val="24"/>
          <w:szCs w:val="24"/>
        </w:rPr>
        <w:t>化学</w:t>
      </w:r>
      <w:r>
        <w:rPr>
          <w:rFonts w:hint="eastAsia" w:ascii="宋体" w:hAnsi="宋体" w:eastAsia="宋体" w:cs="宋体"/>
          <w:i w:val="0"/>
          <w:iCs w:val="0"/>
          <w:caps w:val="0"/>
          <w:color w:val="000000"/>
          <w:spacing w:val="0"/>
          <w:sz w:val="24"/>
          <w:szCs w:val="24"/>
          <w:shd w:val="clear" w:fill="FFFFFF"/>
        </w:rPr>
        <w:t>专业同等学力申请硕士学位课程研修班。</w:t>
      </w:r>
    </w:p>
    <w:p w14:paraId="39355EC2">
      <w:pPr>
        <w:spacing w:line="360" w:lineRule="auto"/>
        <w:contextualSpacing/>
        <w:jc w:val="left"/>
        <w:rPr>
          <w:rFonts w:hint="eastAsia" w:cs="宋体" w:asciiTheme="minorEastAsia" w:hAnsiTheme="minorEastAsia"/>
          <w:sz w:val="24"/>
        </w:rPr>
      </w:pPr>
    </w:p>
    <w:p w14:paraId="6EA9EF99">
      <w:pPr>
        <w:spacing w:line="360" w:lineRule="auto"/>
        <w:contextualSpacing/>
        <w:jc w:val="left"/>
        <w:rPr>
          <w:rFonts w:hint="eastAsia" w:cs="宋体" w:asciiTheme="minorEastAsia" w:hAnsiTheme="minorEastAsia"/>
          <w:sz w:val="24"/>
        </w:rPr>
      </w:pPr>
    </w:p>
    <w:p w14:paraId="2F0ED28E">
      <w:pPr>
        <w:numPr>
          <w:ilvl w:val="0"/>
          <w:numId w:val="1"/>
        </w:numPr>
        <w:spacing w:line="360" w:lineRule="auto"/>
        <w:contextualSpacing/>
        <w:jc w:val="left"/>
        <w:rPr>
          <w:rFonts w:hint="eastAsia" w:cs="宋体" w:asciiTheme="minorEastAsia" w:hAnsiTheme="minorEastAsia"/>
          <w:b/>
          <w:bCs/>
          <w:color w:val="000000" w:themeColor="text1"/>
          <w:sz w:val="24"/>
          <w:lang w:val="en-US" w:eastAsia="zh-CN"/>
          <w14:textFill>
            <w14:solidFill>
              <w14:schemeClr w14:val="tx1"/>
            </w14:solidFill>
          </w14:textFill>
        </w:rPr>
      </w:pPr>
      <w:r>
        <w:rPr>
          <w:rFonts w:hint="eastAsia" w:cs="宋体" w:asciiTheme="minorEastAsia" w:hAnsiTheme="minorEastAsia"/>
          <w:b/>
          <w:bCs/>
          <w:color w:val="000000" w:themeColor="text1"/>
          <w:sz w:val="24"/>
          <w:lang w:val="en-US" w:eastAsia="zh-CN"/>
          <w14:textFill>
            <w14:solidFill>
              <w14:schemeClr w14:val="tx1"/>
            </w14:solidFill>
          </w14:textFill>
        </w:rPr>
        <w:t>培养目标：</w:t>
      </w:r>
    </w:p>
    <w:p w14:paraId="298E413E">
      <w:pPr>
        <w:spacing w:line="360" w:lineRule="auto"/>
        <w:ind w:firstLine="480" w:firstLineChars="200"/>
        <w:contextualSpacing/>
        <w:jc w:val="left"/>
        <w:rPr>
          <w:rFonts w:hint="default" w:ascii="宋体" w:hAnsi="宋体" w:eastAsia="宋体" w:cs="宋体"/>
          <w:i w:val="0"/>
          <w:iCs w:val="0"/>
          <w:caps w:val="0"/>
          <w:color w:val="000000"/>
          <w:spacing w:val="0"/>
          <w:sz w:val="24"/>
          <w:szCs w:val="24"/>
          <w:shd w:val="clear" w:fill="FFFFFF"/>
          <w:lang w:val="en-US" w:eastAsia="zh-CN"/>
        </w:rPr>
      </w:pPr>
      <w:r>
        <w:rPr>
          <w:rFonts w:hint="eastAsia" w:ascii="宋体" w:hAnsi="宋体" w:eastAsia="宋体" w:cs="宋体"/>
          <w:i w:val="0"/>
          <w:iCs w:val="0"/>
          <w:caps w:val="0"/>
          <w:color w:val="000000"/>
          <w:spacing w:val="0"/>
          <w:sz w:val="24"/>
          <w:szCs w:val="24"/>
          <w:shd w:val="clear" w:fill="FFFFFF"/>
          <w:lang w:val="en-US" w:eastAsia="zh-CN"/>
        </w:rPr>
        <w:t>本专业要求学生掌握有机化学相关基础理论知识和基本技能培养学生跟踪当今世界本学科的发展前沿的能力。培养能在高等学校、科研院所、厂矿企业和政府部门的教学、科研和管理工作，能胜任高等学校、科研院所、厂矿企业和政府部门的教学、科研和管理工作的专业型人才。</w:t>
      </w:r>
    </w:p>
    <w:p w14:paraId="35E7A967">
      <w:pPr>
        <w:widowControl w:val="0"/>
        <w:numPr>
          <w:ilvl w:val="0"/>
          <w:numId w:val="0"/>
        </w:numPr>
        <w:spacing w:line="360" w:lineRule="auto"/>
        <w:contextualSpacing/>
        <w:jc w:val="left"/>
        <w:rPr>
          <w:rFonts w:hint="default" w:cs="宋体" w:asciiTheme="minorEastAsia" w:hAnsiTheme="minorEastAsia"/>
          <w:b w:val="0"/>
          <w:bCs w:val="0"/>
          <w:color w:val="000000" w:themeColor="text1"/>
          <w:sz w:val="24"/>
          <w:lang w:val="en-US" w:eastAsia="zh-CN"/>
          <w14:textFill>
            <w14:solidFill>
              <w14:schemeClr w14:val="tx1"/>
            </w14:solidFill>
          </w14:textFill>
        </w:rPr>
      </w:pPr>
    </w:p>
    <w:p w14:paraId="4D4A7CD5">
      <w:pPr>
        <w:numPr>
          <w:ilvl w:val="0"/>
          <w:numId w:val="1"/>
        </w:numPr>
        <w:spacing w:line="360" w:lineRule="auto"/>
        <w:contextualSpacing/>
        <w:jc w:val="left"/>
        <w:rPr>
          <w:rFonts w:hint="default" w:cs="宋体" w:asciiTheme="minorEastAsia" w:hAnsiTheme="minorEastAsia"/>
          <w:b/>
          <w:bCs/>
          <w:color w:val="000000" w:themeColor="text1"/>
          <w:sz w:val="24"/>
          <w:lang w:val="en-US" w:eastAsia="zh-CN"/>
          <w14:textFill>
            <w14:solidFill>
              <w14:schemeClr w14:val="tx1"/>
            </w14:solidFill>
          </w14:textFill>
        </w:rPr>
      </w:pPr>
      <w:r>
        <w:rPr>
          <w:rFonts w:hint="eastAsia" w:cs="宋体" w:asciiTheme="minorEastAsia" w:hAnsiTheme="minorEastAsia"/>
          <w:b/>
          <w:bCs/>
          <w:color w:val="000000" w:themeColor="text1"/>
          <w:sz w:val="24"/>
          <w:lang w:val="en-US" w:eastAsia="zh-CN"/>
          <w14:textFill>
            <w14:solidFill>
              <w14:schemeClr w14:val="tx1"/>
            </w14:solidFill>
          </w14:textFill>
        </w:rPr>
        <w:t>报读优势：</w:t>
      </w:r>
    </w:p>
    <w:p w14:paraId="5D37B9C7">
      <w:pPr>
        <w:spacing w:line="360" w:lineRule="auto"/>
        <w:ind w:firstLine="480" w:firstLineChars="200"/>
        <w:contextualSpacing/>
        <w:jc w:val="left"/>
        <w:rPr>
          <w:rFonts w:hint="default" w:cs="宋体" w:asciiTheme="minorEastAsia" w:hAnsiTheme="minorEastAsia" w:eastAsiaTheme="minorEastAsia"/>
          <w:sz w:val="24"/>
          <w:lang w:val="en-US" w:eastAsia="zh-CN"/>
        </w:rPr>
      </w:pPr>
      <w:r>
        <w:rPr>
          <w:rFonts w:hint="eastAsia" w:cs="宋体" w:asciiTheme="minorEastAsia" w:hAnsiTheme="minorEastAsia"/>
          <w:sz w:val="24"/>
        </w:rPr>
        <w:t>【</w:t>
      </w:r>
      <w:r>
        <w:rPr>
          <w:rFonts w:hint="eastAsia" w:cs="宋体" w:asciiTheme="minorEastAsia" w:hAnsiTheme="minorEastAsia"/>
          <w:sz w:val="24"/>
          <w:lang w:val="en-US" w:eastAsia="zh-CN"/>
        </w:rPr>
        <w:t>国际优势</w:t>
      </w:r>
      <w:r>
        <w:rPr>
          <w:rFonts w:hint="eastAsia" w:cs="宋体" w:asciiTheme="minorEastAsia" w:hAnsiTheme="minorEastAsia"/>
          <w:sz w:val="24"/>
        </w:rPr>
        <w:t>学科】</w:t>
      </w:r>
      <w:r>
        <w:rPr>
          <w:rFonts w:hint="eastAsia" w:cs="宋体" w:asciiTheme="minorEastAsia" w:hAnsiTheme="minorEastAsia"/>
          <w:sz w:val="24"/>
          <w:lang w:val="en-US" w:eastAsia="zh-CN"/>
        </w:rPr>
        <w:t>2023年</w:t>
      </w:r>
      <w:r>
        <w:rPr>
          <w:rFonts w:hint="eastAsia" w:cs="宋体" w:asciiTheme="minorEastAsia" w:hAnsiTheme="minorEastAsia"/>
          <w:sz w:val="24"/>
        </w:rPr>
        <w:t>ESI全球学科排名</w:t>
      </w:r>
      <w:r>
        <w:rPr>
          <w:rFonts w:hint="eastAsia" w:cs="宋体" w:asciiTheme="minorEastAsia" w:hAnsiTheme="minorEastAsia"/>
          <w:sz w:val="24"/>
          <w:lang w:val="en-US" w:eastAsia="zh-CN"/>
        </w:rPr>
        <w:t>进入</w:t>
      </w:r>
      <w:r>
        <w:rPr>
          <w:rFonts w:hint="eastAsia" w:cs="宋体" w:asciiTheme="minorEastAsia" w:hAnsiTheme="minorEastAsia"/>
          <w:sz w:val="24"/>
        </w:rPr>
        <w:t>1.71‰，位居学科世界500强305位，2023全球化学学科自然指数排名95位</w:t>
      </w:r>
      <w:r>
        <w:rPr>
          <w:rFonts w:hint="eastAsia" w:cs="宋体" w:asciiTheme="minorEastAsia" w:hAnsiTheme="minorEastAsia"/>
          <w:sz w:val="24"/>
          <w:lang w:val="en-US" w:eastAsia="zh-CN"/>
        </w:rPr>
        <w:t>；</w:t>
      </w:r>
    </w:p>
    <w:p w14:paraId="69397B97">
      <w:pPr>
        <w:spacing w:line="360" w:lineRule="auto"/>
        <w:ind w:firstLine="480" w:firstLineChars="200"/>
        <w:contextualSpacing/>
        <w:jc w:val="left"/>
        <w:rPr>
          <w:rFonts w:cs="宋体" w:asciiTheme="minorEastAsia" w:hAnsiTheme="minorEastAsia"/>
          <w:sz w:val="24"/>
        </w:rPr>
      </w:pPr>
      <w:r>
        <w:rPr>
          <w:rFonts w:cs="宋体" w:asciiTheme="minorEastAsia" w:hAnsiTheme="minorEastAsia"/>
          <w:sz w:val="24"/>
        </w:rPr>
        <w:t>【免试入学】学员满足报读条件免试入学，</w:t>
      </w:r>
      <w:r>
        <w:rPr>
          <w:rFonts w:hint="eastAsia" w:cs="宋体" w:asciiTheme="minorEastAsia" w:hAnsiTheme="minorEastAsia"/>
          <w:sz w:val="24"/>
          <w:lang w:val="en-US" w:eastAsia="zh-CN"/>
        </w:rPr>
        <w:t>可跨专业报读，先学习后考试</w:t>
      </w:r>
      <w:r>
        <w:rPr>
          <w:rFonts w:cs="宋体" w:asciiTheme="minorEastAsia" w:hAnsiTheme="minorEastAsia"/>
          <w:sz w:val="24"/>
        </w:rPr>
        <w:t>；</w:t>
      </w:r>
    </w:p>
    <w:p w14:paraId="02E3A6A2">
      <w:pPr>
        <w:spacing w:line="360" w:lineRule="auto"/>
        <w:ind w:firstLine="480" w:firstLineChars="200"/>
        <w:contextualSpacing/>
        <w:jc w:val="left"/>
        <w:rPr>
          <w:rFonts w:cs="宋体" w:asciiTheme="minorEastAsia" w:hAnsiTheme="minorEastAsia"/>
          <w:sz w:val="24"/>
        </w:rPr>
      </w:pPr>
      <w:r>
        <w:rPr>
          <w:rFonts w:hint="eastAsia" w:cs="宋体" w:asciiTheme="minorEastAsia" w:hAnsiTheme="minorEastAsia"/>
          <w:sz w:val="24"/>
        </w:rPr>
        <w:t>【</w:t>
      </w:r>
      <w:r>
        <w:rPr>
          <w:rFonts w:hint="eastAsia" w:cs="宋体" w:asciiTheme="minorEastAsia" w:hAnsiTheme="minorEastAsia"/>
          <w:sz w:val="24"/>
          <w:lang w:val="en-US" w:eastAsia="zh-CN"/>
        </w:rPr>
        <w:t>申硕</w:t>
      </w:r>
      <w:r>
        <w:rPr>
          <w:rFonts w:hint="eastAsia" w:cs="宋体" w:asciiTheme="minorEastAsia" w:hAnsiTheme="minorEastAsia"/>
          <w:sz w:val="24"/>
        </w:rPr>
        <w:t>仅考</w:t>
      </w:r>
      <w:r>
        <w:rPr>
          <w:rFonts w:hint="eastAsia" w:cs="宋体" w:asciiTheme="minorEastAsia" w:hAnsiTheme="minorEastAsia"/>
          <w:sz w:val="24"/>
          <w:lang w:val="en-US" w:eastAsia="zh-CN"/>
        </w:rPr>
        <w:t>1</w:t>
      </w:r>
      <w:r>
        <w:rPr>
          <w:rFonts w:hint="eastAsia" w:cs="宋体" w:asciiTheme="minorEastAsia" w:hAnsiTheme="minorEastAsia"/>
          <w:sz w:val="24"/>
        </w:rPr>
        <w:t>科】</w:t>
      </w:r>
      <w:r>
        <w:rPr>
          <w:rFonts w:hint="eastAsia" w:cs="宋体" w:asciiTheme="minorEastAsia" w:hAnsiTheme="minorEastAsia"/>
          <w:sz w:val="24"/>
          <w:lang w:val="en-US" w:eastAsia="zh-CN"/>
        </w:rPr>
        <w:t>专业全国统考仅考英语1门</w:t>
      </w:r>
      <w:r>
        <w:rPr>
          <w:rFonts w:hint="eastAsia" w:cs="宋体" w:asciiTheme="minorEastAsia" w:hAnsiTheme="minorEastAsia"/>
          <w:sz w:val="24"/>
        </w:rPr>
        <w:t>，60分合格，难度较低；</w:t>
      </w:r>
    </w:p>
    <w:p w14:paraId="0194546F">
      <w:pPr>
        <w:spacing w:line="360" w:lineRule="auto"/>
        <w:ind w:firstLine="480" w:firstLineChars="200"/>
        <w:contextualSpacing/>
        <w:jc w:val="left"/>
        <w:rPr>
          <w:rFonts w:cs="宋体" w:asciiTheme="minorEastAsia" w:hAnsiTheme="minorEastAsia"/>
          <w:sz w:val="24"/>
        </w:rPr>
      </w:pPr>
      <w:r>
        <w:rPr>
          <w:rFonts w:hint="eastAsia" w:cs="宋体" w:asciiTheme="minorEastAsia" w:hAnsiTheme="minorEastAsia"/>
          <w:sz w:val="24"/>
        </w:rPr>
        <w:t>【考试机会多】学员有</w:t>
      </w:r>
      <w:r>
        <w:rPr>
          <w:rFonts w:hint="eastAsia" w:cs="宋体" w:asciiTheme="minorEastAsia" w:hAnsiTheme="minorEastAsia"/>
          <w:sz w:val="24"/>
          <w:lang w:val="en-US" w:eastAsia="zh-CN"/>
        </w:rPr>
        <w:t>4</w:t>
      </w:r>
      <w:r>
        <w:rPr>
          <w:rFonts w:hint="eastAsia" w:cs="宋体" w:asciiTheme="minorEastAsia" w:hAnsiTheme="minorEastAsia"/>
          <w:sz w:val="24"/>
        </w:rPr>
        <w:t>次申硕考试机会，</w:t>
      </w:r>
      <w:r>
        <w:rPr>
          <w:rFonts w:hint="eastAsia" w:cs="宋体" w:asciiTheme="minorEastAsia" w:hAnsiTheme="minorEastAsia"/>
          <w:sz w:val="24"/>
          <w:lang w:val="en-US" w:eastAsia="zh-CN"/>
        </w:rPr>
        <w:t>多次机会考</w:t>
      </w:r>
      <w:r>
        <w:rPr>
          <w:rFonts w:hint="eastAsia" w:cs="宋体" w:asciiTheme="minorEastAsia" w:hAnsiTheme="minorEastAsia"/>
          <w:sz w:val="24"/>
        </w:rPr>
        <w:t>大大提升申硕通过率；</w:t>
      </w:r>
    </w:p>
    <w:p w14:paraId="505B6B21">
      <w:pPr>
        <w:spacing w:line="360" w:lineRule="auto"/>
        <w:ind w:firstLine="480" w:firstLineChars="200"/>
        <w:contextualSpacing/>
        <w:jc w:val="left"/>
        <w:rPr>
          <w:rFonts w:cs="宋体" w:asciiTheme="minorEastAsia" w:hAnsiTheme="minorEastAsia"/>
          <w:sz w:val="24"/>
        </w:rPr>
      </w:pPr>
      <w:r>
        <w:rPr>
          <w:rFonts w:hint="eastAsia" w:cs="宋体" w:asciiTheme="minorEastAsia" w:hAnsiTheme="minorEastAsia"/>
          <w:sz w:val="24"/>
        </w:rPr>
        <w:t>【灵活授课】设面授班、网络班，学员可根据自身实际情况选择学习班型；</w:t>
      </w:r>
    </w:p>
    <w:p w14:paraId="76CACF29">
      <w:pPr>
        <w:spacing w:line="360" w:lineRule="auto"/>
        <w:ind w:firstLine="480" w:firstLineChars="200"/>
        <w:contextualSpacing/>
        <w:jc w:val="left"/>
        <w:rPr>
          <w:rFonts w:cs="宋体" w:asciiTheme="minorEastAsia" w:hAnsiTheme="minorEastAsia"/>
          <w:sz w:val="24"/>
        </w:rPr>
      </w:pPr>
      <w:r>
        <w:rPr>
          <w:rFonts w:hint="eastAsia" w:cs="宋体" w:asciiTheme="minorEastAsia" w:hAnsiTheme="minorEastAsia"/>
          <w:sz w:val="24"/>
        </w:rPr>
        <w:t>【拓展人脉】不定期举办线上主题讲座、开展小组论坛话题讨论，为学员提供更多的交流机会与人际拓展平台。</w:t>
      </w:r>
    </w:p>
    <w:p w14:paraId="192E4E91">
      <w:pPr>
        <w:tabs>
          <w:tab w:val="left" w:pos="4920"/>
        </w:tabs>
        <w:spacing w:line="360" w:lineRule="auto"/>
        <w:contextualSpacing/>
        <w:jc w:val="left"/>
        <w:rPr>
          <w:rFonts w:cs="宋体" w:asciiTheme="minorEastAsia" w:hAnsiTheme="minorEastAsia"/>
          <w:sz w:val="24"/>
        </w:rPr>
      </w:pPr>
      <w:r>
        <w:rPr>
          <w:rFonts w:cs="宋体" w:asciiTheme="minorEastAsia" w:hAnsiTheme="minorEastAsia"/>
          <w:sz w:val="24"/>
        </w:rPr>
        <w:tab/>
      </w:r>
    </w:p>
    <w:p w14:paraId="69461A1A">
      <w:pPr>
        <w:numPr>
          <w:ilvl w:val="0"/>
          <w:numId w:val="1"/>
        </w:numPr>
        <w:spacing w:line="360" w:lineRule="auto"/>
        <w:ind w:left="0" w:leftChars="0" w:firstLine="0" w:firstLineChars="0"/>
        <w:contextualSpacing/>
        <w:jc w:val="left"/>
        <w:rPr>
          <w:rFonts w:hint="eastAsia" w:cs="宋体" w:asciiTheme="minorEastAsia" w:hAnsiTheme="minorEastAsia"/>
          <w:b/>
          <w:bCs/>
          <w:color w:val="000000" w:themeColor="text1"/>
          <w:sz w:val="24"/>
          <w:lang w:eastAsia="zh-CN"/>
          <w14:textFill>
            <w14:solidFill>
              <w14:schemeClr w14:val="tx1"/>
            </w14:solidFill>
          </w14:textFill>
        </w:rPr>
      </w:pPr>
      <w:r>
        <w:rPr>
          <w:rFonts w:hint="eastAsia" w:cs="宋体" w:asciiTheme="minorEastAsia" w:hAnsiTheme="minorEastAsia"/>
          <w:b/>
          <w:bCs/>
          <w:color w:val="000000" w:themeColor="text1"/>
          <w:sz w:val="24"/>
          <w:lang w:val="en-US" w:eastAsia="zh-CN"/>
          <w14:textFill>
            <w14:solidFill>
              <w14:schemeClr w14:val="tx1"/>
            </w14:solidFill>
          </w14:textFill>
        </w:rPr>
        <w:t>课程设置</w:t>
      </w:r>
      <w:r>
        <w:rPr>
          <w:rFonts w:hint="eastAsia" w:cs="宋体" w:asciiTheme="minorEastAsia" w:hAnsiTheme="minorEastAsia"/>
          <w:b/>
          <w:bCs/>
          <w:color w:val="000000" w:themeColor="text1"/>
          <w:sz w:val="24"/>
          <w:lang w:eastAsia="zh-CN"/>
          <w14:textFill>
            <w14:solidFill>
              <w14:schemeClr w14:val="tx1"/>
            </w14:solidFill>
          </w14:textFill>
        </w:rPr>
        <w:t>：</w:t>
      </w:r>
    </w:p>
    <w:tbl>
      <w:tblPr>
        <w:tblStyle w:val="6"/>
        <w:tblW w:w="852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89"/>
        <w:gridCol w:w="3660"/>
        <w:gridCol w:w="3472"/>
      </w:tblGrid>
      <w:tr w14:paraId="392408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521" w:type="dxa"/>
            <w:gridSpan w:val="3"/>
            <w:noWrap w:val="0"/>
            <w:vAlign w:val="top"/>
          </w:tcPr>
          <w:p w14:paraId="15CCE860">
            <w:pPr>
              <w:pStyle w:val="2"/>
              <w:widowControl/>
              <w:spacing w:before="225" w:beforeAutospacing="0" w:after="75" w:afterAutospacing="0"/>
              <w:jc w:val="center"/>
              <w:rPr>
                <w:rFonts w:hint="default" w:eastAsia="宋体" w:cs="微软雅黑"/>
                <w:b w:val="0"/>
                <w:color w:val="000000"/>
                <w:sz w:val="21"/>
                <w:szCs w:val="21"/>
                <w:lang w:val="en-US" w:eastAsia="zh-CN" w:bidi="ar"/>
              </w:rPr>
            </w:pPr>
            <w:r>
              <w:rPr>
                <w:rFonts w:hint="eastAsia" w:eastAsia="宋体" w:cs="微软雅黑"/>
                <w:b/>
                <w:bCs/>
                <w:color w:val="000000"/>
                <w:sz w:val="24"/>
                <w:szCs w:val="24"/>
                <w:lang w:val="en-US" w:eastAsia="zh-CN" w:bidi="ar"/>
              </w:rPr>
              <w:t>有机化学专业课程设置</w:t>
            </w:r>
          </w:p>
        </w:tc>
      </w:tr>
      <w:tr w14:paraId="067139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89" w:type="dxa"/>
            <w:vMerge w:val="restart"/>
            <w:noWrap w:val="0"/>
            <w:vAlign w:val="top"/>
          </w:tcPr>
          <w:p w14:paraId="5592B4FC">
            <w:pPr>
              <w:rPr>
                <w:rFonts w:hint="eastAsia" w:eastAsia="宋体" w:cs="微软雅黑"/>
                <w:b/>
                <w:bCs/>
                <w:color w:val="000000"/>
                <w:sz w:val="21"/>
                <w:szCs w:val="21"/>
                <w:lang w:val="en-US" w:eastAsia="zh-CN" w:bidi="ar"/>
              </w:rPr>
            </w:pPr>
          </w:p>
          <w:p w14:paraId="0DEAEA14">
            <w:pPr>
              <w:rPr>
                <w:rFonts w:hint="eastAsia" w:eastAsia="宋体" w:cs="微软雅黑"/>
                <w:b/>
                <w:bCs/>
                <w:color w:val="000000"/>
                <w:sz w:val="21"/>
                <w:szCs w:val="21"/>
                <w:lang w:val="en-US" w:eastAsia="zh-CN" w:bidi="ar"/>
              </w:rPr>
            </w:pPr>
          </w:p>
          <w:p w14:paraId="377F2CCA">
            <w:pPr>
              <w:ind w:firstLine="211" w:firstLineChars="100"/>
              <w:rPr>
                <w:rFonts w:hint="default" w:eastAsia="宋体" w:cs="微软雅黑"/>
                <w:b w:val="0"/>
                <w:color w:val="000000"/>
                <w:sz w:val="21"/>
                <w:szCs w:val="21"/>
                <w:lang w:val="en-US" w:eastAsia="zh-CN" w:bidi="ar"/>
              </w:rPr>
            </w:pPr>
            <w:r>
              <w:rPr>
                <w:rFonts w:hint="eastAsia" w:eastAsia="宋体" w:cs="微软雅黑"/>
                <w:b/>
                <w:bCs/>
                <w:color w:val="000000"/>
                <w:sz w:val="21"/>
                <w:szCs w:val="21"/>
                <w:lang w:val="en-US" w:eastAsia="zh-CN" w:bidi="ar"/>
              </w:rPr>
              <w:t>基础课</w:t>
            </w:r>
          </w:p>
        </w:tc>
        <w:tc>
          <w:tcPr>
            <w:tcW w:w="3660" w:type="dxa"/>
            <w:noWrap w:val="0"/>
            <w:vAlign w:val="top"/>
          </w:tcPr>
          <w:p w14:paraId="79748560">
            <w:pPr>
              <w:pStyle w:val="2"/>
              <w:widowControl/>
              <w:spacing w:before="225" w:beforeAutospacing="0" w:after="75" w:afterAutospacing="0"/>
              <w:jc w:val="center"/>
              <w:rPr>
                <w:rFonts w:hint="default" w:eastAsia="宋体" w:cs="微软雅黑"/>
                <w:b w:val="0"/>
                <w:color w:val="000000"/>
                <w:sz w:val="21"/>
                <w:szCs w:val="21"/>
                <w:lang w:val="en-US" w:eastAsia="zh-CN" w:bidi="ar"/>
              </w:rPr>
            </w:pPr>
            <w:r>
              <w:rPr>
                <w:rFonts w:hint="eastAsia" w:eastAsia="宋体" w:cs="微软雅黑"/>
                <w:b w:val="0"/>
                <w:color w:val="000000"/>
                <w:sz w:val="21"/>
                <w:szCs w:val="21"/>
                <w:lang w:val="en-US" w:eastAsia="zh-CN" w:bidi="ar"/>
              </w:rPr>
              <w:t>中国特色社会主义理论与实践</w:t>
            </w:r>
          </w:p>
        </w:tc>
        <w:tc>
          <w:tcPr>
            <w:tcW w:w="3472" w:type="dxa"/>
            <w:noWrap w:val="0"/>
            <w:vAlign w:val="top"/>
          </w:tcPr>
          <w:p w14:paraId="1E63C1C0">
            <w:pPr>
              <w:pStyle w:val="2"/>
              <w:widowControl/>
              <w:spacing w:before="225" w:beforeAutospacing="0" w:after="75" w:afterAutospacing="0"/>
              <w:jc w:val="center"/>
              <w:rPr>
                <w:rFonts w:hint="default" w:eastAsia="宋体" w:cs="微软雅黑"/>
                <w:b w:val="0"/>
                <w:color w:val="000000"/>
                <w:sz w:val="21"/>
                <w:szCs w:val="21"/>
                <w:lang w:val="en-US" w:eastAsia="zh-CN" w:bidi="ar"/>
              </w:rPr>
            </w:pPr>
            <w:r>
              <w:rPr>
                <w:rFonts w:hint="eastAsia" w:ascii="宋体" w:hAnsi="宋体" w:eastAsia="宋体" w:cs="微软雅黑"/>
                <w:b w:val="0"/>
                <w:color w:val="000000"/>
                <w:kern w:val="0"/>
                <w:sz w:val="21"/>
                <w:szCs w:val="21"/>
                <w:lang w:val="en-US" w:eastAsia="zh-CN" w:bidi="ar"/>
              </w:rPr>
              <w:t>自然辩证法概论</w:t>
            </w:r>
          </w:p>
        </w:tc>
      </w:tr>
      <w:tr w14:paraId="662A58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89" w:type="dxa"/>
            <w:vMerge w:val="continue"/>
            <w:noWrap w:val="0"/>
            <w:vAlign w:val="top"/>
          </w:tcPr>
          <w:p w14:paraId="2590650D">
            <w:pPr>
              <w:pStyle w:val="2"/>
              <w:widowControl/>
              <w:spacing w:before="225" w:beforeAutospacing="0" w:after="75" w:afterAutospacing="0"/>
              <w:jc w:val="center"/>
              <w:rPr>
                <w:rFonts w:hint="eastAsia" w:eastAsia="宋体" w:cs="微软雅黑"/>
                <w:b w:val="0"/>
                <w:color w:val="000000"/>
                <w:sz w:val="21"/>
                <w:szCs w:val="21"/>
                <w:lang w:val="en-US" w:eastAsia="zh-CN" w:bidi="ar"/>
              </w:rPr>
            </w:pPr>
          </w:p>
        </w:tc>
        <w:tc>
          <w:tcPr>
            <w:tcW w:w="3660" w:type="dxa"/>
            <w:noWrap w:val="0"/>
            <w:vAlign w:val="top"/>
          </w:tcPr>
          <w:p w14:paraId="4AEAFEC9">
            <w:pPr>
              <w:pStyle w:val="2"/>
              <w:widowControl/>
              <w:spacing w:before="225" w:beforeAutospacing="0" w:after="75" w:afterAutospacing="0"/>
              <w:jc w:val="center"/>
              <w:rPr>
                <w:rFonts w:hint="default" w:eastAsia="宋体" w:cs="微软雅黑"/>
                <w:b w:val="0"/>
                <w:color w:val="000000"/>
                <w:sz w:val="21"/>
                <w:szCs w:val="21"/>
                <w:lang w:val="en-US" w:eastAsia="zh-CN" w:bidi="ar"/>
              </w:rPr>
            </w:pPr>
            <w:r>
              <w:rPr>
                <w:rFonts w:hint="eastAsia" w:eastAsia="宋体" w:cs="微软雅黑"/>
                <w:b w:val="0"/>
                <w:color w:val="000000"/>
                <w:kern w:val="0"/>
                <w:sz w:val="21"/>
                <w:szCs w:val="21"/>
                <w:lang w:val="en-US" w:eastAsia="zh-CN" w:bidi="ar"/>
              </w:rPr>
              <w:t>英语</w:t>
            </w:r>
          </w:p>
        </w:tc>
        <w:tc>
          <w:tcPr>
            <w:tcW w:w="3472" w:type="dxa"/>
            <w:noWrap w:val="0"/>
            <w:vAlign w:val="top"/>
          </w:tcPr>
          <w:p w14:paraId="23D2027A">
            <w:pPr>
              <w:pStyle w:val="2"/>
              <w:widowControl/>
              <w:spacing w:before="225" w:beforeAutospacing="0" w:after="75" w:afterAutospacing="0"/>
              <w:jc w:val="center"/>
              <w:rPr>
                <w:rFonts w:hint="default" w:eastAsia="宋体" w:cs="微软雅黑"/>
                <w:b w:val="0"/>
                <w:color w:val="000000"/>
                <w:sz w:val="21"/>
                <w:szCs w:val="21"/>
                <w:lang w:val="en-US" w:eastAsia="zh-CN" w:bidi="ar"/>
              </w:rPr>
            </w:pPr>
            <w:r>
              <w:rPr>
                <w:rFonts w:hint="eastAsia" w:eastAsia="宋体" w:cs="微软雅黑"/>
                <w:b w:val="0"/>
                <w:color w:val="000000"/>
                <w:sz w:val="21"/>
                <w:szCs w:val="21"/>
                <w:lang w:val="en-US" w:eastAsia="zh-CN" w:bidi="ar"/>
              </w:rPr>
              <w:t>数值分析</w:t>
            </w:r>
          </w:p>
        </w:tc>
      </w:tr>
      <w:tr w14:paraId="1137BA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89" w:type="dxa"/>
            <w:vMerge w:val="restart"/>
            <w:noWrap w:val="0"/>
            <w:vAlign w:val="top"/>
          </w:tcPr>
          <w:p w14:paraId="742C80BD">
            <w:pPr>
              <w:pStyle w:val="2"/>
              <w:widowControl/>
              <w:spacing w:before="225" w:beforeAutospacing="0" w:after="75" w:afterAutospacing="0"/>
              <w:jc w:val="center"/>
              <w:rPr>
                <w:rFonts w:hint="default"/>
                <w:lang w:val="en-US" w:eastAsia="zh-CN"/>
              </w:rPr>
            </w:pPr>
          </w:p>
          <w:p w14:paraId="1C3E547B">
            <w:pPr>
              <w:rPr>
                <w:rFonts w:hint="default" w:eastAsia="宋体" w:cs="微软雅黑"/>
                <w:b w:val="0"/>
                <w:color w:val="000000"/>
                <w:sz w:val="21"/>
                <w:szCs w:val="21"/>
                <w:lang w:val="en-US" w:eastAsia="zh-CN" w:bidi="ar"/>
              </w:rPr>
            </w:pPr>
          </w:p>
          <w:p w14:paraId="26F579CD">
            <w:pPr>
              <w:rPr>
                <w:rFonts w:hint="eastAsia" w:eastAsia="宋体" w:cs="微软雅黑"/>
                <w:b w:val="0"/>
                <w:color w:val="000000"/>
                <w:sz w:val="21"/>
                <w:szCs w:val="21"/>
                <w:lang w:val="en-US" w:eastAsia="zh-CN" w:bidi="ar"/>
              </w:rPr>
            </w:pPr>
            <w:r>
              <w:rPr>
                <w:rFonts w:hint="eastAsia" w:eastAsia="宋体" w:cs="微软雅黑"/>
                <w:b w:val="0"/>
                <w:color w:val="000000"/>
                <w:sz w:val="21"/>
                <w:szCs w:val="21"/>
                <w:lang w:val="en-US" w:eastAsia="zh-CN" w:bidi="ar"/>
              </w:rPr>
              <w:t xml:space="preserve">   </w:t>
            </w:r>
          </w:p>
          <w:p w14:paraId="1589A5C1">
            <w:pPr>
              <w:ind w:firstLine="211" w:firstLineChars="100"/>
              <w:rPr>
                <w:rFonts w:hint="default" w:eastAsia="宋体" w:cs="微软雅黑"/>
                <w:b w:val="0"/>
                <w:color w:val="000000"/>
                <w:sz w:val="21"/>
                <w:szCs w:val="21"/>
                <w:lang w:val="en-US" w:eastAsia="zh-CN" w:bidi="ar"/>
              </w:rPr>
            </w:pPr>
            <w:r>
              <w:rPr>
                <w:rFonts w:hint="eastAsia" w:eastAsia="宋体" w:cs="微软雅黑"/>
                <w:b/>
                <w:bCs/>
                <w:color w:val="000000"/>
                <w:sz w:val="21"/>
                <w:szCs w:val="21"/>
                <w:lang w:val="en-US" w:eastAsia="zh-CN" w:bidi="ar"/>
              </w:rPr>
              <w:t>专业课</w:t>
            </w:r>
          </w:p>
        </w:tc>
        <w:tc>
          <w:tcPr>
            <w:tcW w:w="3660" w:type="dxa"/>
            <w:noWrap w:val="0"/>
            <w:vAlign w:val="top"/>
          </w:tcPr>
          <w:p w14:paraId="741D4B2E">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eastAsia="宋体" w:cs="微软雅黑"/>
                <w:b w:val="0"/>
                <w:color w:val="000000"/>
                <w:sz w:val="21"/>
                <w:szCs w:val="21"/>
                <w:lang w:val="en-US" w:eastAsia="zh-CN" w:bidi="ar"/>
              </w:rPr>
            </w:pPr>
            <w:r>
              <w:rPr>
                <w:rFonts w:hint="eastAsia" w:eastAsia="宋体" w:cs="微软雅黑"/>
                <w:b w:val="0"/>
                <w:color w:val="000000"/>
                <w:sz w:val="21"/>
                <w:szCs w:val="21"/>
                <w:lang w:val="en-US" w:eastAsia="zh-CN" w:bidi="ar"/>
              </w:rPr>
              <w:t>无机化学</w:t>
            </w:r>
          </w:p>
        </w:tc>
        <w:tc>
          <w:tcPr>
            <w:tcW w:w="3472" w:type="dxa"/>
            <w:noWrap w:val="0"/>
            <w:vAlign w:val="top"/>
          </w:tcPr>
          <w:p w14:paraId="44DBECD3">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eastAsia="宋体" w:cs="微软雅黑"/>
                <w:b w:val="0"/>
                <w:color w:val="000000"/>
                <w:sz w:val="21"/>
                <w:szCs w:val="21"/>
                <w:lang w:val="en-US" w:eastAsia="zh-CN" w:bidi="ar"/>
              </w:rPr>
            </w:pPr>
            <w:r>
              <w:rPr>
                <w:rFonts w:hint="default" w:eastAsia="宋体" w:cs="微软雅黑"/>
                <w:b w:val="0"/>
                <w:color w:val="000000"/>
                <w:sz w:val="21"/>
                <w:szCs w:val="21"/>
                <w:lang w:val="en-US" w:eastAsia="zh-CN" w:bidi="ar"/>
              </w:rPr>
              <w:t>物理化学</w:t>
            </w:r>
          </w:p>
        </w:tc>
      </w:tr>
      <w:tr w14:paraId="18F7D3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89" w:type="dxa"/>
            <w:vMerge w:val="continue"/>
            <w:noWrap w:val="0"/>
            <w:vAlign w:val="top"/>
          </w:tcPr>
          <w:p w14:paraId="70D42353">
            <w:pPr>
              <w:pStyle w:val="2"/>
              <w:widowControl/>
              <w:spacing w:before="225" w:beforeAutospacing="0" w:after="75" w:afterAutospacing="0"/>
              <w:jc w:val="center"/>
              <w:rPr>
                <w:rFonts w:hint="default" w:eastAsia="宋体" w:cs="微软雅黑"/>
                <w:b w:val="0"/>
                <w:color w:val="000000"/>
                <w:sz w:val="21"/>
                <w:szCs w:val="21"/>
                <w:lang w:val="en-US" w:eastAsia="zh-CN" w:bidi="ar"/>
              </w:rPr>
            </w:pPr>
          </w:p>
        </w:tc>
        <w:tc>
          <w:tcPr>
            <w:tcW w:w="3660" w:type="dxa"/>
            <w:noWrap w:val="0"/>
            <w:vAlign w:val="top"/>
          </w:tcPr>
          <w:p w14:paraId="678A44A1">
            <w:pPr>
              <w:pStyle w:val="2"/>
              <w:widowControl/>
              <w:spacing w:before="225" w:beforeAutospacing="0" w:after="75" w:afterAutospacing="0"/>
              <w:jc w:val="center"/>
              <w:rPr>
                <w:rFonts w:hint="default" w:eastAsia="宋体" w:cs="微软雅黑"/>
                <w:b w:val="0"/>
                <w:color w:val="000000"/>
                <w:sz w:val="21"/>
                <w:szCs w:val="21"/>
                <w:lang w:val="en-US" w:eastAsia="zh-CN" w:bidi="ar"/>
              </w:rPr>
            </w:pPr>
            <w:r>
              <w:rPr>
                <w:rFonts w:hint="eastAsia" w:eastAsia="宋体" w:cs="微软雅黑"/>
                <w:b w:val="0"/>
                <w:color w:val="000000"/>
                <w:sz w:val="21"/>
                <w:szCs w:val="21"/>
                <w:lang w:val="en-US" w:eastAsia="zh-CN" w:bidi="ar"/>
              </w:rPr>
              <w:t>有机化学</w:t>
            </w:r>
          </w:p>
        </w:tc>
        <w:tc>
          <w:tcPr>
            <w:tcW w:w="3472" w:type="dxa"/>
            <w:noWrap w:val="0"/>
            <w:vAlign w:val="top"/>
          </w:tcPr>
          <w:p w14:paraId="29236A1E">
            <w:pPr>
              <w:pStyle w:val="2"/>
              <w:widowControl/>
              <w:spacing w:before="225" w:beforeAutospacing="0" w:after="75" w:afterAutospacing="0"/>
              <w:jc w:val="center"/>
              <w:rPr>
                <w:rFonts w:hint="default" w:eastAsia="宋体" w:cs="微软雅黑"/>
                <w:b w:val="0"/>
                <w:color w:val="000000"/>
                <w:sz w:val="21"/>
                <w:szCs w:val="21"/>
                <w:lang w:val="en-US" w:eastAsia="zh-CN" w:bidi="ar"/>
              </w:rPr>
            </w:pPr>
            <w:r>
              <w:rPr>
                <w:rFonts w:hint="eastAsia" w:eastAsia="宋体" w:cs="微软雅黑"/>
                <w:b w:val="0"/>
                <w:color w:val="000000"/>
                <w:sz w:val="21"/>
                <w:szCs w:val="21"/>
                <w:lang w:val="en-US" w:eastAsia="zh-CN" w:bidi="ar"/>
              </w:rPr>
              <w:t>化学实验安全</w:t>
            </w:r>
          </w:p>
        </w:tc>
      </w:tr>
      <w:tr w14:paraId="1930B7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89" w:type="dxa"/>
            <w:vMerge w:val="continue"/>
            <w:noWrap w:val="0"/>
            <w:vAlign w:val="top"/>
          </w:tcPr>
          <w:p w14:paraId="1BDB2AD2">
            <w:pPr>
              <w:pStyle w:val="2"/>
              <w:widowControl/>
              <w:spacing w:before="225" w:beforeAutospacing="0" w:after="75" w:afterAutospacing="0"/>
              <w:jc w:val="center"/>
              <w:rPr>
                <w:rFonts w:hint="default" w:eastAsia="宋体" w:cs="微软雅黑"/>
                <w:b w:val="0"/>
                <w:color w:val="000000"/>
                <w:sz w:val="21"/>
                <w:szCs w:val="21"/>
                <w:lang w:val="en-US" w:eastAsia="zh-CN" w:bidi="ar"/>
              </w:rPr>
            </w:pPr>
          </w:p>
        </w:tc>
        <w:tc>
          <w:tcPr>
            <w:tcW w:w="3660" w:type="dxa"/>
            <w:noWrap w:val="0"/>
            <w:vAlign w:val="top"/>
          </w:tcPr>
          <w:p w14:paraId="5297D921">
            <w:pPr>
              <w:pStyle w:val="2"/>
              <w:widowControl/>
              <w:spacing w:before="225" w:beforeAutospacing="0" w:after="75" w:afterAutospacing="0"/>
              <w:jc w:val="center"/>
              <w:rPr>
                <w:rFonts w:hint="default" w:eastAsia="宋体" w:cs="微软雅黑"/>
                <w:b w:val="0"/>
                <w:bCs/>
                <w:color w:val="000000"/>
                <w:sz w:val="21"/>
                <w:szCs w:val="21"/>
                <w:lang w:val="en-US" w:eastAsia="zh-CN" w:bidi="ar"/>
              </w:rPr>
            </w:pPr>
            <w:r>
              <w:rPr>
                <w:rFonts w:hint="eastAsia" w:eastAsia="宋体" w:cs="微软雅黑"/>
                <w:b w:val="0"/>
                <w:bCs/>
                <w:color w:val="000000"/>
                <w:sz w:val="21"/>
                <w:szCs w:val="21"/>
                <w:lang w:val="en-US" w:eastAsia="zh-CN" w:bidi="ar"/>
              </w:rPr>
              <w:t>分析化学</w:t>
            </w:r>
          </w:p>
        </w:tc>
        <w:tc>
          <w:tcPr>
            <w:tcW w:w="3472" w:type="dxa"/>
            <w:noWrap w:val="0"/>
            <w:vAlign w:val="top"/>
          </w:tcPr>
          <w:p w14:paraId="3612C817">
            <w:pPr>
              <w:pStyle w:val="2"/>
              <w:widowControl/>
              <w:spacing w:before="225" w:beforeAutospacing="0" w:after="75" w:afterAutospacing="0"/>
              <w:jc w:val="center"/>
              <w:rPr>
                <w:rFonts w:hint="default" w:eastAsia="宋体" w:cs="微软雅黑"/>
                <w:b w:val="0"/>
                <w:color w:val="000000"/>
                <w:sz w:val="21"/>
                <w:szCs w:val="21"/>
                <w:lang w:val="en-US" w:eastAsia="zh-CN" w:bidi="ar"/>
              </w:rPr>
            </w:pPr>
            <w:r>
              <w:rPr>
                <w:rFonts w:hint="default" w:eastAsia="宋体" w:cs="微软雅黑"/>
                <w:b w:val="0"/>
                <w:color w:val="000000"/>
                <w:sz w:val="21"/>
                <w:szCs w:val="21"/>
                <w:lang w:val="en-US" w:eastAsia="zh-CN" w:bidi="ar"/>
              </w:rPr>
              <w:t>无机及稀土化学</w:t>
            </w:r>
          </w:p>
        </w:tc>
      </w:tr>
      <w:tr w14:paraId="4F49BA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89" w:type="dxa"/>
            <w:vMerge w:val="continue"/>
            <w:noWrap w:val="0"/>
            <w:vAlign w:val="top"/>
          </w:tcPr>
          <w:p w14:paraId="564EEB6C">
            <w:pPr>
              <w:pStyle w:val="2"/>
              <w:widowControl/>
              <w:spacing w:before="225" w:beforeAutospacing="0" w:after="75" w:afterAutospacing="0"/>
              <w:jc w:val="center"/>
              <w:rPr>
                <w:rFonts w:hint="default" w:eastAsia="宋体" w:cs="微软雅黑"/>
                <w:b w:val="0"/>
                <w:color w:val="000000"/>
                <w:sz w:val="21"/>
                <w:szCs w:val="21"/>
                <w:lang w:val="en-US" w:eastAsia="zh-CN" w:bidi="ar"/>
              </w:rPr>
            </w:pPr>
          </w:p>
        </w:tc>
        <w:tc>
          <w:tcPr>
            <w:tcW w:w="3660" w:type="dxa"/>
            <w:noWrap w:val="0"/>
            <w:vAlign w:val="top"/>
          </w:tcPr>
          <w:p w14:paraId="4F303BE2">
            <w:pPr>
              <w:pStyle w:val="2"/>
              <w:widowControl/>
              <w:spacing w:before="225" w:beforeAutospacing="0" w:after="75" w:afterAutospacing="0"/>
              <w:jc w:val="center"/>
              <w:rPr>
                <w:rFonts w:hint="default" w:eastAsia="宋体" w:cs="微软雅黑"/>
                <w:b w:val="0"/>
                <w:color w:val="000000"/>
                <w:sz w:val="21"/>
                <w:szCs w:val="21"/>
                <w:lang w:val="en-US" w:eastAsia="zh-CN" w:bidi="ar"/>
              </w:rPr>
            </w:pPr>
            <w:r>
              <w:rPr>
                <w:rFonts w:hint="default" w:eastAsia="宋体" w:cs="微软雅黑"/>
                <w:b w:val="0"/>
                <w:color w:val="000000"/>
                <w:sz w:val="21"/>
                <w:szCs w:val="21"/>
                <w:lang w:val="en-US" w:eastAsia="zh-CN" w:bidi="ar"/>
              </w:rPr>
              <w:t>高分子化学</w:t>
            </w:r>
          </w:p>
        </w:tc>
        <w:tc>
          <w:tcPr>
            <w:tcW w:w="3472" w:type="dxa"/>
            <w:noWrap w:val="0"/>
            <w:vAlign w:val="top"/>
          </w:tcPr>
          <w:p w14:paraId="60E5C1FF">
            <w:pPr>
              <w:pStyle w:val="2"/>
              <w:widowControl/>
              <w:spacing w:before="225" w:beforeAutospacing="0" w:after="75" w:afterAutospacing="0"/>
              <w:jc w:val="center"/>
              <w:rPr>
                <w:rFonts w:hint="default" w:eastAsia="宋体" w:cs="微软雅黑"/>
                <w:b w:val="0"/>
                <w:color w:val="000000"/>
                <w:sz w:val="21"/>
                <w:szCs w:val="21"/>
                <w:lang w:val="en-US" w:eastAsia="zh-CN" w:bidi="ar"/>
              </w:rPr>
            </w:pPr>
            <w:r>
              <w:rPr>
                <w:rFonts w:hint="default" w:eastAsia="宋体" w:cs="微软雅黑"/>
                <w:b w:val="0"/>
                <w:color w:val="000000"/>
                <w:sz w:val="21"/>
                <w:szCs w:val="21"/>
                <w:lang w:val="en-US" w:eastAsia="zh-CN" w:bidi="ar"/>
              </w:rPr>
              <w:t>铁电化学</w:t>
            </w:r>
          </w:p>
        </w:tc>
      </w:tr>
      <w:tr w14:paraId="2027D3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89" w:type="dxa"/>
            <w:vMerge w:val="restart"/>
            <w:noWrap w:val="0"/>
            <w:vAlign w:val="center"/>
          </w:tcPr>
          <w:p w14:paraId="069EFEE7">
            <w:pPr>
              <w:pStyle w:val="2"/>
              <w:widowControl/>
              <w:spacing w:before="225" w:beforeAutospacing="0" w:after="75" w:afterAutospacing="0"/>
              <w:jc w:val="center"/>
              <w:rPr>
                <w:rFonts w:hint="default" w:eastAsia="宋体" w:cs="微软雅黑"/>
                <w:b w:val="0"/>
                <w:color w:val="000000"/>
                <w:sz w:val="21"/>
                <w:szCs w:val="21"/>
                <w:lang w:val="en-US" w:eastAsia="zh-CN" w:bidi="ar"/>
              </w:rPr>
            </w:pPr>
            <w:r>
              <w:rPr>
                <w:rFonts w:hint="eastAsia" w:eastAsia="宋体" w:cs="微软雅黑"/>
                <w:b/>
                <w:bCs/>
                <w:color w:val="000000"/>
                <w:sz w:val="21"/>
                <w:szCs w:val="21"/>
                <w:lang w:val="en-US" w:eastAsia="zh-CN" w:bidi="ar"/>
              </w:rPr>
              <w:t>选修课</w:t>
            </w:r>
          </w:p>
        </w:tc>
        <w:tc>
          <w:tcPr>
            <w:tcW w:w="3660" w:type="dxa"/>
            <w:noWrap w:val="0"/>
            <w:vAlign w:val="top"/>
          </w:tcPr>
          <w:p w14:paraId="5B03CFEA">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Calibri" w:hAnsi="Calibri" w:eastAsia="宋体" w:cs="Times New Roman"/>
                <w:b w:val="0"/>
                <w:bCs/>
                <w:kern w:val="2"/>
                <w:sz w:val="21"/>
                <w:szCs w:val="21"/>
                <w:lang w:val="en-US" w:eastAsia="zh-CN" w:bidi="ar-SA"/>
              </w:rPr>
            </w:pPr>
            <w:r>
              <w:rPr>
                <w:rFonts w:hint="default" w:ascii="Calibri" w:hAnsi="Calibri" w:eastAsia="宋体" w:cs="Times New Roman"/>
                <w:b w:val="0"/>
                <w:bCs/>
                <w:kern w:val="2"/>
                <w:sz w:val="21"/>
                <w:szCs w:val="21"/>
                <w:lang w:val="en-US" w:eastAsia="zh-CN" w:bidi="ar-SA"/>
              </w:rPr>
              <w:t>稀土提取纯化和应用</w:t>
            </w:r>
          </w:p>
        </w:tc>
        <w:tc>
          <w:tcPr>
            <w:tcW w:w="3472" w:type="dxa"/>
            <w:noWrap w:val="0"/>
            <w:vAlign w:val="top"/>
          </w:tcPr>
          <w:p w14:paraId="304AB2DA">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Calibri" w:hAnsi="Calibri" w:eastAsia="宋体" w:cs="Times New Roman"/>
                <w:b w:val="0"/>
                <w:bCs/>
                <w:kern w:val="2"/>
                <w:sz w:val="21"/>
                <w:szCs w:val="21"/>
                <w:lang w:val="en-US" w:eastAsia="zh-CN" w:bidi="ar-SA"/>
              </w:rPr>
            </w:pPr>
            <w:r>
              <w:rPr>
                <w:rFonts w:hint="default" w:ascii="Calibri" w:hAnsi="Calibri" w:eastAsia="宋体" w:cs="Times New Roman"/>
                <w:b w:val="0"/>
                <w:bCs/>
                <w:kern w:val="2"/>
                <w:sz w:val="21"/>
                <w:szCs w:val="21"/>
                <w:lang w:val="en-US" w:eastAsia="zh-CN" w:bidi="ar-SA"/>
              </w:rPr>
              <w:t>分析测试和计量化学</w:t>
            </w:r>
          </w:p>
        </w:tc>
      </w:tr>
      <w:tr w14:paraId="05A61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89" w:type="dxa"/>
            <w:vMerge w:val="continue"/>
            <w:noWrap w:val="0"/>
            <w:vAlign w:val="top"/>
          </w:tcPr>
          <w:p w14:paraId="147B5AAF">
            <w:pPr>
              <w:pStyle w:val="2"/>
              <w:widowControl/>
              <w:spacing w:before="225" w:beforeAutospacing="0" w:after="75" w:afterAutospacing="0"/>
              <w:jc w:val="center"/>
              <w:rPr>
                <w:rFonts w:hint="default" w:eastAsia="宋体" w:cs="微软雅黑"/>
                <w:b w:val="0"/>
                <w:color w:val="000000"/>
                <w:sz w:val="21"/>
                <w:szCs w:val="21"/>
                <w:lang w:val="en-US" w:eastAsia="zh-CN" w:bidi="ar"/>
              </w:rPr>
            </w:pPr>
          </w:p>
        </w:tc>
        <w:tc>
          <w:tcPr>
            <w:tcW w:w="3660" w:type="dxa"/>
            <w:noWrap w:val="0"/>
            <w:vAlign w:val="top"/>
          </w:tcPr>
          <w:p w14:paraId="3AA390C7">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Calibri" w:hAnsi="Calibri" w:eastAsia="宋体" w:cs="Times New Roman"/>
                <w:b w:val="0"/>
                <w:bCs/>
                <w:kern w:val="2"/>
                <w:sz w:val="21"/>
                <w:szCs w:val="21"/>
                <w:lang w:val="en-US" w:eastAsia="zh-CN" w:bidi="ar-SA"/>
              </w:rPr>
            </w:pPr>
            <w:r>
              <w:rPr>
                <w:rFonts w:hint="eastAsia" w:ascii="Calibri" w:hAnsi="Calibri" w:eastAsia="宋体" w:cs="Times New Roman"/>
                <w:b w:val="0"/>
                <w:bCs/>
                <w:kern w:val="2"/>
                <w:sz w:val="21"/>
                <w:szCs w:val="21"/>
                <w:lang w:val="en-US" w:eastAsia="zh-CN" w:bidi="ar-SA"/>
              </w:rPr>
              <w:t>计算机</w:t>
            </w:r>
          </w:p>
        </w:tc>
        <w:tc>
          <w:tcPr>
            <w:tcW w:w="3472" w:type="dxa"/>
            <w:noWrap w:val="0"/>
            <w:vAlign w:val="top"/>
          </w:tcPr>
          <w:p w14:paraId="04E2E6C6">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Calibri" w:hAnsi="Calibri" w:eastAsia="宋体" w:cs="Times New Roman"/>
                <w:b w:val="0"/>
                <w:bCs/>
                <w:kern w:val="2"/>
                <w:sz w:val="21"/>
                <w:szCs w:val="21"/>
                <w:lang w:val="en-US" w:eastAsia="zh-CN" w:bidi="ar-SA"/>
              </w:rPr>
            </w:pPr>
            <w:r>
              <w:rPr>
                <w:rFonts w:hint="eastAsia" w:ascii="Calibri" w:hAnsi="Calibri" w:eastAsia="宋体" w:cs="Times New Roman"/>
                <w:b w:val="0"/>
                <w:bCs/>
                <w:kern w:val="2"/>
                <w:sz w:val="21"/>
                <w:szCs w:val="21"/>
                <w:lang w:val="en-US" w:eastAsia="zh-CN" w:bidi="ar-SA"/>
              </w:rPr>
              <w:t>数学</w:t>
            </w:r>
          </w:p>
        </w:tc>
      </w:tr>
    </w:tbl>
    <w:p w14:paraId="040446DD">
      <w:pPr>
        <w:numPr>
          <w:ilvl w:val="0"/>
          <w:numId w:val="0"/>
        </w:numPr>
        <w:spacing w:line="360" w:lineRule="auto"/>
        <w:ind w:leftChars="0"/>
        <w:contextualSpacing/>
        <w:jc w:val="center"/>
        <w:rPr>
          <w:rFonts w:hint="default" w:cs="宋体" w:asciiTheme="minorEastAsia" w:hAnsiTheme="minorEastAsia"/>
          <w:b w:val="0"/>
          <w:bCs w:val="0"/>
          <w:color w:val="000000" w:themeColor="text1"/>
          <w:sz w:val="21"/>
          <w:szCs w:val="21"/>
          <w:lang w:val="en-US" w:eastAsia="zh-CN"/>
          <w14:textFill>
            <w14:solidFill>
              <w14:schemeClr w14:val="tx1"/>
            </w14:solidFill>
          </w14:textFill>
        </w:rPr>
      </w:pPr>
      <w:r>
        <w:rPr>
          <w:rFonts w:hint="eastAsia" w:cs="宋体" w:asciiTheme="minorEastAsia" w:hAnsiTheme="minorEastAsia"/>
          <w:b w:val="0"/>
          <w:bCs w:val="0"/>
          <w:color w:val="000000" w:themeColor="text1"/>
          <w:sz w:val="21"/>
          <w:szCs w:val="21"/>
          <w:lang w:val="en-US" w:eastAsia="zh-CN"/>
          <w14:textFill>
            <w14:solidFill>
              <w14:schemeClr w14:val="tx1"/>
            </w14:solidFill>
          </w14:textFill>
        </w:rPr>
        <w:t>注：具体课程以学校实际安排为准</w:t>
      </w:r>
    </w:p>
    <w:p w14:paraId="4341219C">
      <w:pPr>
        <w:numPr>
          <w:ilvl w:val="0"/>
          <w:numId w:val="0"/>
        </w:numPr>
        <w:spacing w:line="360" w:lineRule="auto"/>
        <w:ind w:leftChars="0"/>
        <w:contextualSpacing/>
        <w:jc w:val="left"/>
        <w:rPr>
          <w:rFonts w:hint="eastAsia" w:cs="宋体" w:asciiTheme="minorEastAsia" w:hAnsiTheme="minorEastAsia"/>
          <w:b/>
          <w:bCs/>
          <w:color w:val="000000" w:themeColor="text1"/>
          <w:sz w:val="24"/>
          <w:lang w:eastAsia="zh-CN"/>
          <w14:textFill>
            <w14:solidFill>
              <w14:schemeClr w14:val="tx1"/>
            </w14:solidFill>
          </w14:textFill>
        </w:rPr>
      </w:pPr>
    </w:p>
    <w:p w14:paraId="20D9B5ED">
      <w:pPr>
        <w:numPr>
          <w:ilvl w:val="0"/>
          <w:numId w:val="1"/>
        </w:numPr>
        <w:spacing w:line="360" w:lineRule="auto"/>
        <w:ind w:left="0" w:leftChars="0" w:firstLine="0" w:firstLineChars="0"/>
        <w:contextualSpacing/>
        <w:jc w:val="left"/>
        <w:rPr>
          <w:rFonts w:hint="eastAsia" w:cs="宋体" w:asciiTheme="minorEastAsia" w:hAnsiTheme="minorEastAsia"/>
          <w:b/>
          <w:bCs/>
          <w:color w:val="000000" w:themeColor="text1"/>
          <w:sz w:val="24"/>
          <w:lang w:eastAsia="zh-CN"/>
          <w14:textFill>
            <w14:solidFill>
              <w14:schemeClr w14:val="tx1"/>
            </w14:solidFill>
          </w14:textFill>
        </w:rPr>
      </w:pPr>
      <w:r>
        <w:rPr>
          <w:rFonts w:hint="eastAsia" w:cs="宋体" w:asciiTheme="minorEastAsia" w:hAnsiTheme="minorEastAsia"/>
          <w:b/>
          <w:bCs/>
          <w:color w:val="000000" w:themeColor="text1"/>
          <w:sz w:val="24"/>
          <w:lang w:val="en-US" w:eastAsia="zh-CN"/>
          <w14:textFill>
            <w14:solidFill>
              <w14:schemeClr w14:val="tx1"/>
            </w14:solidFill>
          </w14:textFill>
        </w:rPr>
        <w:t>报名条件：</w:t>
      </w:r>
    </w:p>
    <w:p w14:paraId="7E5E69C0">
      <w:pPr>
        <w:spacing w:line="360" w:lineRule="auto"/>
        <w:ind w:firstLine="480" w:firstLineChars="200"/>
        <w:contextualSpacing/>
        <w:jc w:val="left"/>
        <w:rPr>
          <w:rFonts w:hint="eastAsia" w:cs="宋体" w:asciiTheme="minorEastAsia" w:hAnsiTheme="minorEastAsia"/>
          <w:sz w:val="24"/>
          <w:lang w:val="en-US" w:eastAsia="zh-CN"/>
        </w:rPr>
      </w:pPr>
      <w:r>
        <w:rPr>
          <w:rFonts w:hint="eastAsia" w:cs="宋体" w:asciiTheme="minorEastAsia" w:hAnsiTheme="minorEastAsia"/>
          <w:sz w:val="24"/>
          <w:lang w:val="en-US" w:eastAsia="zh-CN"/>
        </w:rPr>
        <w:t>1、已获得学士学位，并在获得学士学位后工作3年以上者；</w:t>
      </w:r>
    </w:p>
    <w:p w14:paraId="65979796">
      <w:pPr>
        <w:spacing w:line="360" w:lineRule="auto"/>
        <w:ind w:firstLine="480" w:firstLineChars="200"/>
        <w:contextualSpacing/>
        <w:jc w:val="left"/>
        <w:rPr>
          <w:rFonts w:hint="eastAsia" w:cs="宋体" w:asciiTheme="minorEastAsia" w:hAnsiTheme="minorEastAsia"/>
          <w:sz w:val="24"/>
          <w:lang w:val="en-US" w:eastAsia="zh-CN"/>
        </w:rPr>
      </w:pPr>
      <w:r>
        <w:rPr>
          <w:rFonts w:hint="eastAsia" w:cs="宋体" w:asciiTheme="minorEastAsia" w:hAnsiTheme="minorEastAsia"/>
          <w:sz w:val="24"/>
          <w:lang w:val="en-US" w:eastAsia="zh-CN"/>
        </w:rPr>
        <w:t>2、虽无学士学位但已获得硕士或博士学位者；或通过教育部留学服务中心认证的国（境）外学士(获得学士学位后工作3年以上)、硕士或博士学位获得者。</w:t>
      </w:r>
    </w:p>
    <w:p w14:paraId="455D4FCE">
      <w:pPr>
        <w:spacing w:line="360" w:lineRule="auto"/>
        <w:ind w:firstLine="480" w:firstLineChars="200"/>
        <w:contextualSpacing/>
        <w:jc w:val="left"/>
        <w:rPr>
          <w:rFonts w:hint="eastAsia" w:cs="宋体" w:asciiTheme="minorEastAsia" w:hAnsiTheme="minorEastAsia"/>
          <w:sz w:val="24"/>
          <w:lang w:val="en-US" w:eastAsia="zh-CN"/>
        </w:rPr>
      </w:pPr>
      <w:r>
        <w:rPr>
          <w:rFonts w:hint="eastAsia" w:cs="宋体" w:asciiTheme="minorEastAsia" w:hAnsiTheme="minorEastAsia"/>
          <w:sz w:val="24"/>
          <w:lang w:val="en-US" w:eastAsia="zh-CN"/>
        </w:rPr>
        <w:t>3、在申请学位的专业或相近专业做出成绩，学术水平或专业技术水平已达到所申请学位专业的毕业研究生同等水平。</w:t>
      </w:r>
    </w:p>
    <w:p w14:paraId="5221090F">
      <w:pPr>
        <w:spacing w:line="360" w:lineRule="auto"/>
        <w:contextualSpacing/>
        <w:jc w:val="left"/>
        <w:rPr>
          <w:rFonts w:cs="宋体" w:asciiTheme="minorEastAsia" w:hAnsiTheme="minorEastAsia"/>
          <w:sz w:val="24"/>
        </w:rPr>
      </w:pPr>
    </w:p>
    <w:p w14:paraId="3F00B310">
      <w:pPr>
        <w:spacing w:line="360" w:lineRule="auto"/>
        <w:contextualSpacing/>
        <w:jc w:val="left"/>
        <w:rPr>
          <w:rFonts w:hint="eastAsia" w:cs="宋体" w:asciiTheme="minorEastAsia" w:hAnsiTheme="minorEastAsia" w:eastAsiaTheme="minorEastAsia"/>
          <w:b/>
          <w:bCs/>
          <w:color w:val="000000" w:themeColor="text1"/>
          <w:sz w:val="24"/>
          <w:lang w:eastAsia="zh-CN"/>
          <w14:textFill>
            <w14:solidFill>
              <w14:schemeClr w14:val="tx1"/>
            </w14:solidFill>
          </w14:textFill>
        </w:rPr>
      </w:pPr>
      <w:r>
        <w:rPr>
          <w:rFonts w:hint="eastAsia" w:cs="宋体" w:asciiTheme="minorEastAsia" w:hAnsiTheme="minorEastAsia"/>
          <w:b/>
          <w:bCs/>
          <w:color w:val="000000" w:themeColor="text1"/>
          <w:sz w:val="24"/>
          <w:lang w:val="en-US" w:eastAsia="zh-CN"/>
          <w14:textFill>
            <w14:solidFill>
              <w14:schemeClr w14:val="tx1"/>
            </w14:solidFill>
          </w14:textFill>
        </w:rPr>
        <w:t>六、</w:t>
      </w:r>
      <w:r>
        <w:rPr>
          <w:rFonts w:hint="eastAsia" w:cs="宋体" w:asciiTheme="minorEastAsia" w:hAnsiTheme="minorEastAsia"/>
          <w:b/>
          <w:bCs/>
          <w:color w:val="000000" w:themeColor="text1"/>
          <w:sz w:val="24"/>
          <w14:textFill>
            <w14:solidFill>
              <w14:schemeClr w14:val="tx1"/>
            </w14:solidFill>
          </w14:textFill>
        </w:rPr>
        <w:t>收费标准</w:t>
      </w:r>
      <w:r>
        <w:rPr>
          <w:rFonts w:hint="eastAsia" w:cs="宋体" w:asciiTheme="minorEastAsia" w:hAnsiTheme="minorEastAsia"/>
          <w:b/>
          <w:bCs/>
          <w:color w:val="000000" w:themeColor="text1"/>
          <w:sz w:val="24"/>
          <w:lang w:eastAsia="zh-CN"/>
          <w14:textFill>
            <w14:solidFill>
              <w14:schemeClr w14:val="tx1"/>
            </w14:solidFill>
          </w14:textFill>
        </w:rPr>
        <w:t>：</w:t>
      </w:r>
    </w:p>
    <w:p w14:paraId="176BEFEB">
      <w:pPr>
        <w:pStyle w:val="5"/>
        <w:spacing w:beforeAutospacing="0" w:afterAutospacing="0" w:line="360" w:lineRule="auto"/>
        <w:ind w:firstLine="480" w:firstLineChars="200"/>
        <w:contextualSpacing/>
        <w:jc w:val="both"/>
        <w:rPr>
          <w:rFonts w:hint="eastAsia" w:cs="仿宋_GB2312" w:asciiTheme="minorEastAsia" w:hAnsiTheme="minorEastAsia"/>
          <w:color w:val="000000"/>
        </w:rPr>
      </w:pPr>
      <w:r>
        <w:rPr>
          <w:rFonts w:hint="eastAsia" w:cs="仿宋_GB2312" w:asciiTheme="minorEastAsia" w:hAnsiTheme="minorEastAsia"/>
          <w:color w:val="000000"/>
          <w:lang w:val="en-US" w:eastAsia="zh-CN"/>
        </w:rPr>
        <w:t>1、</w:t>
      </w:r>
      <w:r>
        <w:rPr>
          <w:rFonts w:hint="eastAsia" w:cs="仿宋_GB2312" w:asciiTheme="minorEastAsia" w:hAnsiTheme="minorEastAsia"/>
          <w:color w:val="000000"/>
        </w:rPr>
        <w:t>课程学习培养费1</w:t>
      </w:r>
      <w:r>
        <w:rPr>
          <w:rFonts w:hint="eastAsia" w:cs="仿宋_GB2312" w:asciiTheme="minorEastAsia" w:hAnsiTheme="minorEastAsia"/>
          <w:color w:val="000000"/>
          <w:lang w:val="en-US" w:eastAsia="zh-CN"/>
        </w:rPr>
        <w:t>61</w:t>
      </w:r>
      <w:r>
        <w:rPr>
          <w:rFonts w:hint="eastAsia" w:cs="仿宋_GB2312" w:asciiTheme="minorEastAsia" w:hAnsiTheme="minorEastAsia"/>
          <w:color w:val="000000"/>
        </w:rPr>
        <w:t>00元</w:t>
      </w:r>
    </w:p>
    <w:p w14:paraId="039AF6E5">
      <w:pPr>
        <w:pStyle w:val="5"/>
        <w:spacing w:beforeAutospacing="0" w:afterAutospacing="0" w:line="360" w:lineRule="auto"/>
        <w:ind w:firstLine="480" w:firstLineChars="200"/>
        <w:contextualSpacing/>
        <w:jc w:val="both"/>
        <w:rPr>
          <w:rFonts w:hint="eastAsia" w:cs="仿宋_GB2312" w:asciiTheme="minorEastAsia" w:hAnsiTheme="minorEastAsia"/>
          <w:color w:val="000000"/>
        </w:rPr>
      </w:pPr>
      <w:r>
        <w:rPr>
          <w:rFonts w:hint="eastAsia" w:cs="仿宋_GB2312" w:asciiTheme="minorEastAsia" w:hAnsiTheme="minorEastAsia"/>
          <w:color w:val="000000"/>
          <w:lang w:val="en-US" w:eastAsia="zh-CN"/>
        </w:rPr>
        <w:t>2、</w:t>
      </w:r>
      <w:r>
        <w:rPr>
          <w:rFonts w:hint="eastAsia" w:cs="仿宋_GB2312" w:asciiTheme="minorEastAsia" w:hAnsiTheme="minorEastAsia"/>
          <w:color w:val="000000"/>
        </w:rPr>
        <w:t>学位论文答辩费1</w:t>
      </w:r>
      <w:r>
        <w:rPr>
          <w:rFonts w:hint="eastAsia" w:cs="仿宋_GB2312" w:asciiTheme="minorEastAsia" w:hAnsiTheme="minorEastAsia"/>
          <w:color w:val="000000"/>
          <w:lang w:val="en-US" w:eastAsia="zh-CN"/>
        </w:rPr>
        <w:t>8</w:t>
      </w:r>
      <w:r>
        <w:rPr>
          <w:rFonts w:hint="eastAsia" w:cs="仿宋_GB2312" w:asciiTheme="minorEastAsia" w:hAnsiTheme="minorEastAsia"/>
          <w:color w:val="000000"/>
        </w:rPr>
        <w:t>000元</w:t>
      </w:r>
    </w:p>
    <w:p w14:paraId="7F53488F">
      <w:pPr>
        <w:pStyle w:val="5"/>
        <w:spacing w:beforeAutospacing="0" w:afterAutospacing="0" w:line="360" w:lineRule="auto"/>
        <w:ind w:firstLine="480" w:firstLineChars="200"/>
        <w:contextualSpacing/>
        <w:jc w:val="both"/>
        <w:rPr>
          <w:rFonts w:hint="eastAsia" w:cs="仿宋_GB2312" w:asciiTheme="minorEastAsia" w:hAnsiTheme="minorEastAsia"/>
          <w:color w:val="000000"/>
        </w:rPr>
      </w:pPr>
    </w:p>
    <w:p w14:paraId="7ADB936D">
      <w:pPr>
        <w:spacing w:line="360" w:lineRule="auto"/>
        <w:contextualSpacing/>
        <w:jc w:val="left"/>
        <w:rPr>
          <w:rFonts w:hint="eastAsia" w:cs="宋体" w:asciiTheme="minorEastAsia" w:hAnsiTheme="minorEastAsia" w:eastAsiaTheme="minorEastAsia"/>
          <w:b/>
          <w:bCs/>
          <w:color w:val="000000" w:themeColor="text1"/>
          <w:sz w:val="24"/>
          <w:lang w:eastAsia="zh-CN"/>
          <w14:textFill>
            <w14:solidFill>
              <w14:schemeClr w14:val="tx1"/>
            </w14:solidFill>
          </w14:textFill>
        </w:rPr>
      </w:pPr>
      <w:r>
        <w:rPr>
          <w:rFonts w:hint="eastAsia" w:cs="宋体" w:asciiTheme="minorEastAsia" w:hAnsiTheme="minorEastAsia"/>
          <w:b/>
          <w:bCs/>
          <w:color w:val="000000" w:themeColor="text1"/>
          <w:sz w:val="24"/>
          <w:lang w:val="en-US" w:eastAsia="zh-CN"/>
          <w14:textFill>
            <w14:solidFill>
              <w14:schemeClr w14:val="tx1"/>
            </w14:solidFill>
          </w14:textFill>
        </w:rPr>
        <w:t>七</w:t>
      </w:r>
      <w:r>
        <w:rPr>
          <w:rFonts w:hint="eastAsia" w:cs="宋体" w:asciiTheme="minorEastAsia" w:hAnsiTheme="minorEastAsia"/>
          <w:b/>
          <w:bCs/>
          <w:color w:val="000000" w:themeColor="text1"/>
          <w:sz w:val="24"/>
          <w14:textFill>
            <w14:solidFill>
              <w14:schemeClr w14:val="tx1"/>
            </w14:solidFill>
          </w14:textFill>
        </w:rPr>
        <w:t>、培养方式</w:t>
      </w:r>
      <w:r>
        <w:rPr>
          <w:rFonts w:hint="eastAsia" w:cs="宋体" w:asciiTheme="minorEastAsia" w:hAnsiTheme="minorEastAsia"/>
          <w:b/>
          <w:bCs/>
          <w:color w:val="000000" w:themeColor="text1"/>
          <w:sz w:val="24"/>
          <w:lang w:eastAsia="zh-CN"/>
          <w14:textFill>
            <w14:solidFill>
              <w14:schemeClr w14:val="tx1"/>
            </w14:solidFill>
          </w14:textFill>
        </w:rPr>
        <w:t>：</w:t>
      </w:r>
    </w:p>
    <w:p w14:paraId="20DFC8BB">
      <w:pPr>
        <w:spacing w:line="360" w:lineRule="auto"/>
        <w:ind w:firstLine="480" w:firstLineChars="200"/>
        <w:contextualSpacing/>
        <w:jc w:val="left"/>
        <w:rPr>
          <w:rFonts w:cs="宋体" w:asciiTheme="minorEastAsia" w:hAnsiTheme="minorEastAsia"/>
          <w:sz w:val="24"/>
        </w:rPr>
      </w:pPr>
      <w:r>
        <w:rPr>
          <w:rFonts w:hint="eastAsia" w:cs="宋体" w:asciiTheme="minorEastAsia" w:hAnsiTheme="minorEastAsia"/>
          <w:sz w:val="24"/>
        </w:rPr>
        <w:t>1、学习时间：学制两年；</w:t>
      </w:r>
    </w:p>
    <w:p w14:paraId="122AB626">
      <w:pPr>
        <w:spacing w:line="360" w:lineRule="auto"/>
        <w:ind w:firstLine="480" w:firstLineChars="200"/>
        <w:contextualSpacing/>
        <w:jc w:val="left"/>
        <w:rPr>
          <w:rFonts w:cs="宋体" w:asciiTheme="minorEastAsia" w:hAnsiTheme="minorEastAsia"/>
          <w:sz w:val="24"/>
        </w:rPr>
      </w:pPr>
      <w:r>
        <w:rPr>
          <w:rFonts w:hint="eastAsia" w:cs="宋体" w:asciiTheme="minorEastAsia" w:hAnsiTheme="minorEastAsia"/>
          <w:sz w:val="24"/>
        </w:rPr>
        <w:t>2、授课方式：校本部面授学习、异地教学中心网络学习相结合的授课方式；面授时间利用周末及公众节假日集中授课，学习期间采取理论与实践相结合、课堂讲授与自学相结合的方式。</w:t>
      </w:r>
    </w:p>
    <w:p w14:paraId="740784BB">
      <w:pPr>
        <w:spacing w:line="360" w:lineRule="auto"/>
        <w:contextualSpacing/>
        <w:jc w:val="left"/>
        <w:rPr>
          <w:rFonts w:cs="宋体" w:asciiTheme="minorEastAsia" w:hAnsiTheme="minorEastAsia"/>
          <w:sz w:val="24"/>
        </w:rPr>
      </w:pPr>
    </w:p>
    <w:p w14:paraId="118BF2FE">
      <w:pPr>
        <w:spacing w:line="360" w:lineRule="auto"/>
        <w:contextualSpacing/>
        <w:jc w:val="left"/>
        <w:rPr>
          <w:rFonts w:hint="eastAsia" w:cs="宋体" w:asciiTheme="minorEastAsia" w:hAnsiTheme="minorEastAsia"/>
          <w:sz w:val="24"/>
        </w:rPr>
      </w:pPr>
      <w:r>
        <w:rPr>
          <w:rFonts w:hint="eastAsia" w:cs="宋体" w:asciiTheme="minorEastAsia" w:hAnsiTheme="minorEastAsia"/>
          <w:b/>
          <w:bCs/>
          <w:color w:val="000000" w:themeColor="text1"/>
          <w:sz w:val="24"/>
          <w:lang w:val="en-US" w:eastAsia="zh-CN"/>
          <w14:textFill>
            <w14:solidFill>
              <w14:schemeClr w14:val="tx1"/>
            </w14:solidFill>
          </w14:textFill>
        </w:rPr>
        <w:t>八</w:t>
      </w:r>
      <w:r>
        <w:rPr>
          <w:rFonts w:hint="eastAsia" w:cs="宋体" w:asciiTheme="minorEastAsia" w:hAnsiTheme="minorEastAsia"/>
          <w:b/>
          <w:bCs/>
          <w:color w:val="000000" w:themeColor="text1"/>
          <w:sz w:val="24"/>
          <w14:textFill>
            <w14:solidFill>
              <w14:schemeClr w14:val="tx1"/>
            </w14:solidFill>
          </w14:textFill>
        </w:rPr>
        <w:t>、报名手续</w:t>
      </w:r>
      <w:r>
        <w:rPr>
          <w:rFonts w:hint="eastAsia" w:cs="宋体" w:asciiTheme="minorEastAsia" w:hAnsiTheme="minorEastAsia"/>
          <w:b/>
          <w:bCs/>
          <w:color w:val="000000" w:themeColor="text1"/>
          <w:sz w:val="24"/>
          <w:lang w:eastAsia="zh-CN"/>
          <w14:textFill>
            <w14:solidFill>
              <w14:schemeClr w14:val="tx1"/>
            </w14:solidFill>
          </w14:textFill>
        </w:rPr>
        <w:t>：</w:t>
      </w:r>
    </w:p>
    <w:p w14:paraId="2019CA65">
      <w:pPr>
        <w:pStyle w:val="5"/>
        <w:spacing w:beforeAutospacing="0" w:afterAutospacing="0" w:line="360" w:lineRule="auto"/>
        <w:ind w:firstLine="480" w:firstLineChars="200"/>
        <w:contextualSpacing/>
        <w:jc w:val="both"/>
        <w:rPr>
          <w:rFonts w:hint="eastAsia" w:cs="仿宋_GB2312" w:asciiTheme="minorEastAsia" w:hAnsiTheme="minorEastAsia"/>
          <w:color w:val="000000"/>
          <w:lang w:val="en-US" w:eastAsia="zh-CN"/>
        </w:rPr>
      </w:pPr>
      <w:r>
        <w:rPr>
          <w:rFonts w:hint="eastAsia" w:cs="仿宋_GB2312" w:asciiTheme="minorEastAsia" w:hAnsiTheme="minorEastAsia"/>
          <w:color w:val="000000"/>
          <w:lang w:val="en-US" w:eastAsia="zh-CN"/>
        </w:rPr>
        <w:t>1、同等学力人员申硕申请硕士学位情况表；</w:t>
      </w:r>
    </w:p>
    <w:p w14:paraId="0EEFDBC3">
      <w:pPr>
        <w:pStyle w:val="5"/>
        <w:spacing w:beforeAutospacing="0" w:afterAutospacing="0" w:line="360" w:lineRule="auto"/>
        <w:ind w:firstLine="480" w:firstLineChars="200"/>
        <w:contextualSpacing/>
        <w:jc w:val="both"/>
        <w:rPr>
          <w:rFonts w:hint="eastAsia" w:cs="仿宋_GB2312" w:asciiTheme="minorEastAsia" w:hAnsiTheme="minorEastAsia"/>
          <w:color w:val="000000"/>
          <w:lang w:val="en-US" w:eastAsia="zh-CN"/>
        </w:rPr>
      </w:pPr>
      <w:r>
        <w:rPr>
          <w:rFonts w:hint="eastAsia" w:cs="仿宋_GB2312" w:asciiTheme="minorEastAsia" w:hAnsiTheme="minorEastAsia"/>
          <w:color w:val="000000"/>
          <w:lang w:val="en-US" w:eastAsia="zh-CN"/>
        </w:rPr>
        <w:t>2、二代居民身份证原件及复印件；</w:t>
      </w:r>
    </w:p>
    <w:p w14:paraId="6894AE37">
      <w:pPr>
        <w:pStyle w:val="5"/>
        <w:spacing w:beforeAutospacing="0" w:afterAutospacing="0" w:line="360" w:lineRule="auto"/>
        <w:ind w:firstLine="480" w:firstLineChars="200"/>
        <w:contextualSpacing/>
        <w:jc w:val="both"/>
        <w:rPr>
          <w:rFonts w:hint="eastAsia" w:cs="仿宋_GB2312" w:asciiTheme="minorEastAsia" w:hAnsiTheme="minorEastAsia"/>
          <w:color w:val="000000"/>
          <w:lang w:val="en-US" w:eastAsia="zh-CN"/>
        </w:rPr>
      </w:pPr>
      <w:r>
        <w:rPr>
          <w:rFonts w:hint="eastAsia" w:cs="仿宋_GB2312" w:asciiTheme="minorEastAsia" w:hAnsiTheme="minorEastAsia"/>
          <w:color w:val="000000"/>
          <w:lang w:val="en-US" w:eastAsia="zh-CN"/>
        </w:rPr>
        <w:t>3、学历证书、学位证书原件及复印件；</w:t>
      </w:r>
    </w:p>
    <w:p w14:paraId="5BFFF8F7">
      <w:pPr>
        <w:pStyle w:val="5"/>
        <w:spacing w:beforeAutospacing="0" w:afterAutospacing="0" w:line="360" w:lineRule="auto"/>
        <w:ind w:firstLine="480" w:firstLineChars="200"/>
        <w:contextualSpacing/>
        <w:jc w:val="both"/>
        <w:rPr>
          <w:rFonts w:hint="eastAsia" w:cs="仿宋_GB2312" w:asciiTheme="minorEastAsia" w:hAnsiTheme="minorEastAsia"/>
          <w:color w:val="000000"/>
          <w:lang w:val="en-US" w:eastAsia="zh-CN"/>
        </w:rPr>
      </w:pPr>
      <w:r>
        <w:rPr>
          <w:rFonts w:hint="eastAsia" w:cs="仿宋_GB2312" w:asciiTheme="minorEastAsia" w:hAnsiTheme="minorEastAsia"/>
          <w:color w:val="000000"/>
          <w:lang w:val="en-US" w:eastAsia="zh-CN"/>
        </w:rPr>
        <w:t>4、中国高等教育学位在线验证报告或学位认证报告；</w:t>
      </w:r>
    </w:p>
    <w:p w14:paraId="5135D81B">
      <w:pPr>
        <w:pStyle w:val="5"/>
        <w:spacing w:beforeAutospacing="0" w:afterAutospacing="0" w:line="360" w:lineRule="auto"/>
        <w:ind w:firstLine="480" w:firstLineChars="200"/>
        <w:contextualSpacing/>
        <w:jc w:val="both"/>
        <w:rPr>
          <w:rFonts w:hint="eastAsia" w:cs="仿宋_GB2312" w:asciiTheme="minorEastAsia" w:hAnsiTheme="minorEastAsia"/>
          <w:color w:val="000000"/>
          <w:lang w:val="en-US" w:eastAsia="zh-CN"/>
        </w:rPr>
      </w:pPr>
      <w:r>
        <w:rPr>
          <w:rFonts w:hint="eastAsia" w:cs="仿宋_GB2312" w:asciiTheme="minorEastAsia" w:hAnsiTheme="minorEastAsia"/>
          <w:color w:val="000000"/>
          <w:lang w:val="en-US" w:eastAsia="zh-CN"/>
        </w:rPr>
        <w:t>5、蓝底电子证件照。</w:t>
      </w:r>
    </w:p>
    <w:p w14:paraId="7AF449F1">
      <w:pPr>
        <w:spacing w:line="360" w:lineRule="auto"/>
        <w:contextualSpacing/>
        <w:jc w:val="left"/>
        <w:rPr>
          <w:rFonts w:cs="宋体" w:asciiTheme="minorEastAsia" w:hAnsiTheme="minorEastAsia"/>
          <w:sz w:val="24"/>
        </w:rPr>
      </w:pPr>
    </w:p>
    <w:p w14:paraId="7C35ACE5">
      <w:pPr>
        <w:spacing w:line="360" w:lineRule="auto"/>
        <w:contextualSpacing/>
        <w:jc w:val="left"/>
        <w:rPr>
          <w:rFonts w:hint="eastAsia" w:cs="宋体" w:asciiTheme="minorEastAsia" w:hAnsiTheme="minorEastAsia" w:eastAsiaTheme="minorEastAsia"/>
          <w:b/>
          <w:bCs/>
          <w:color w:val="000000" w:themeColor="text1"/>
          <w:sz w:val="24"/>
          <w:lang w:eastAsia="zh-CN"/>
          <w14:textFill>
            <w14:solidFill>
              <w14:schemeClr w14:val="tx1"/>
            </w14:solidFill>
          </w14:textFill>
        </w:rPr>
      </w:pPr>
      <w:r>
        <w:rPr>
          <w:rFonts w:hint="eastAsia" w:cs="宋体" w:asciiTheme="minorEastAsia" w:hAnsiTheme="minorEastAsia"/>
          <w:b/>
          <w:bCs/>
          <w:color w:val="000000" w:themeColor="text1"/>
          <w:sz w:val="24"/>
          <w:lang w:val="en-US" w:eastAsia="zh-CN"/>
          <w14:textFill>
            <w14:solidFill>
              <w14:schemeClr w14:val="tx1"/>
            </w14:solidFill>
          </w14:textFill>
        </w:rPr>
        <w:t>九</w:t>
      </w:r>
      <w:r>
        <w:rPr>
          <w:rFonts w:hint="eastAsia" w:cs="宋体" w:asciiTheme="minorEastAsia" w:hAnsiTheme="minorEastAsia"/>
          <w:b/>
          <w:bCs/>
          <w:color w:val="000000" w:themeColor="text1"/>
          <w:sz w:val="24"/>
          <w14:textFill>
            <w14:solidFill>
              <w14:schemeClr w14:val="tx1"/>
            </w14:solidFill>
          </w14:textFill>
        </w:rPr>
        <w:t>、获取证书</w:t>
      </w:r>
      <w:r>
        <w:rPr>
          <w:rFonts w:hint="eastAsia" w:cs="宋体" w:asciiTheme="minorEastAsia" w:hAnsiTheme="minorEastAsia"/>
          <w:b/>
          <w:bCs/>
          <w:color w:val="000000" w:themeColor="text1"/>
          <w:sz w:val="24"/>
          <w:lang w:eastAsia="zh-CN"/>
          <w14:textFill>
            <w14:solidFill>
              <w14:schemeClr w14:val="tx1"/>
            </w14:solidFill>
          </w14:textFill>
        </w:rPr>
        <w:t>：</w:t>
      </w:r>
    </w:p>
    <w:p w14:paraId="51565837">
      <w:pPr>
        <w:spacing w:line="360" w:lineRule="auto"/>
        <w:ind w:firstLine="480" w:firstLineChars="200"/>
        <w:contextualSpacing/>
        <w:jc w:val="left"/>
        <w:rPr>
          <w:rFonts w:hint="eastAsia" w:cs="宋体" w:asciiTheme="minorEastAsia" w:hAnsiTheme="minorEastAsia"/>
          <w:sz w:val="24"/>
        </w:rPr>
      </w:pPr>
      <w:r>
        <w:rPr>
          <w:rFonts w:hint="eastAsia" w:cs="宋体" w:asciiTheme="minorEastAsia" w:hAnsiTheme="minorEastAsia"/>
          <w:sz w:val="24"/>
        </w:rPr>
        <w:t>申请人资格审查之日起，必须在4年内修完所申请专业硕士研究生培养方案规定的课程，按要求参加考试，取得合格成绩，修满规定的学分，并且通过同等学力人员申请硕士学位外国语水平全国统一考试和学科综合水平全国统一考试；在省级及以上学术期刊发表一篇与专业相关的论文（本人独著或第一作者）；在6年内进行硕士学位论文答辩。通过同等学力水平认定，经我校学位委员会批准，授予硕士学位并颁发学位证书。</w:t>
      </w:r>
    </w:p>
    <w:p w14:paraId="4192ADFB">
      <w:pPr>
        <w:spacing w:line="360" w:lineRule="auto"/>
        <w:ind w:firstLine="480" w:firstLineChars="200"/>
        <w:contextualSpacing/>
        <w:jc w:val="left"/>
        <w:rPr>
          <w:rFonts w:hint="eastAsia" w:cs="宋体" w:asciiTheme="minorEastAsia" w:hAnsiTheme="minorEastAsia"/>
          <w:sz w:val="24"/>
        </w:rPr>
      </w:pPr>
    </w:p>
    <w:p w14:paraId="7AA329BF">
      <w:pPr>
        <w:jc w:val="both"/>
        <w:rPr>
          <w:rFonts w:hint="eastAsia" w:cs="宋体" w:asciiTheme="majorEastAsia" w:hAnsiTheme="majorEastAsia" w:eastAsiaTheme="majorEastAsia"/>
          <w:b/>
          <w:bCs/>
          <w:sz w:val="36"/>
          <w:szCs w:val="36"/>
        </w:rPr>
      </w:pPr>
    </w:p>
    <w:sectPr>
      <w:head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D2A3F3">
    <w:pPr>
      <w:pStyle w:val="4"/>
    </w:pPr>
    <w:r>
      <w:rPr>
        <w:sz w:val="18"/>
      </w:rPr>
      <w:drawing>
        <wp:anchor distT="0" distB="0" distL="114300" distR="114300" simplePos="0" relativeHeight="251659264" behindDoc="1" locked="0" layoutInCell="1" allowOverlap="1">
          <wp:simplePos x="0" y="0"/>
          <wp:positionH relativeFrom="margin">
            <wp:align>center</wp:align>
          </wp:positionH>
          <wp:positionV relativeFrom="margin">
            <wp:align>center</wp:align>
          </wp:positionV>
          <wp:extent cx="5274310" cy="5233035"/>
          <wp:effectExtent l="0" t="0" r="2540" b="5715"/>
          <wp:wrapNone/>
          <wp:docPr id="2" name="WordPictureWatermark11602" descr="南昌大学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ordPictureWatermark11602" descr="南昌大学LOGO"/>
                  <pic:cNvPicPr>
                    <a:picLocks noChangeAspect="1"/>
                  </pic:cNvPicPr>
                </pic:nvPicPr>
                <pic:blipFill>
                  <a:blip r:embed="rId1">
                    <a:lum bright="70000" contrast="-70000"/>
                  </a:blip>
                  <a:stretch>
                    <a:fillRect/>
                  </a:stretch>
                </pic:blipFill>
                <pic:spPr>
                  <a:xfrm>
                    <a:off x="0" y="0"/>
                    <a:ext cx="5274310" cy="5233035"/>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054B580"/>
    <w:multiLevelType w:val="singleLevel"/>
    <w:tmpl w:val="9054B580"/>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Q5ODQ5N2Q1NmI0ZDAwYTJiMTcyMmU3ZjhhMWE4NmEifQ=="/>
  </w:docVars>
  <w:rsids>
    <w:rsidRoot w:val="4EA60DAF"/>
    <w:rsid w:val="012A0152"/>
    <w:rsid w:val="0154618F"/>
    <w:rsid w:val="08206641"/>
    <w:rsid w:val="09903C9B"/>
    <w:rsid w:val="09D752EF"/>
    <w:rsid w:val="162A63E6"/>
    <w:rsid w:val="23081069"/>
    <w:rsid w:val="2F77346A"/>
    <w:rsid w:val="38B50364"/>
    <w:rsid w:val="3A541CD3"/>
    <w:rsid w:val="3BE155F6"/>
    <w:rsid w:val="3BFC3C39"/>
    <w:rsid w:val="446B64B3"/>
    <w:rsid w:val="452C63A7"/>
    <w:rsid w:val="465D21B2"/>
    <w:rsid w:val="47020B74"/>
    <w:rsid w:val="48357205"/>
    <w:rsid w:val="4CD410EB"/>
    <w:rsid w:val="4EA60DAF"/>
    <w:rsid w:val="508605D9"/>
    <w:rsid w:val="52F440BB"/>
    <w:rsid w:val="56D96AA1"/>
    <w:rsid w:val="62255368"/>
    <w:rsid w:val="63456FA8"/>
    <w:rsid w:val="6C047CC4"/>
    <w:rsid w:val="71E73E39"/>
    <w:rsid w:val="776B3A0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nhideWhenUsed="0"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6"/>
    <w:basedOn w:val="1"/>
    <w:next w:val="1"/>
    <w:qFormat/>
    <w:uiPriority w:val="0"/>
    <w:pPr>
      <w:spacing w:before="100" w:beforeAutospacing="1" w:after="100" w:afterAutospacing="1"/>
      <w:jc w:val="left"/>
      <w:outlineLvl w:val="5"/>
    </w:pPr>
    <w:rPr>
      <w:rFonts w:ascii="宋体" w:hAnsi="宋体"/>
      <w:b/>
      <w:kern w:val="0"/>
      <w:sz w:val="15"/>
      <w:szCs w:val="15"/>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99"/>
    <w:pPr>
      <w:spacing w:beforeAutospacing="1" w:afterAutospacing="1"/>
      <w:jc w:val="left"/>
    </w:pPr>
    <w:rPr>
      <w:rFonts w:cs="Times New Roman"/>
      <w:kern w:val="0"/>
      <w:sz w:val="24"/>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Strong"/>
    <w:basedOn w:val="8"/>
    <w:qFormat/>
    <w:uiPriority w:val="0"/>
    <w:rPr>
      <w:b/>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image" Target="media/image2.png"/><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1633</Words>
  <Characters>1668</Characters>
  <Lines>0</Lines>
  <Paragraphs>0</Paragraphs>
  <TotalTime>0</TotalTime>
  <ScaleCrop>false</ScaleCrop>
  <LinksUpToDate>false</LinksUpToDate>
  <CharactersWithSpaces>1672</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2023-11-17T03:26:00Z</dcterms:created>
  <dc:creator>Administrator</dc:creator>
  <cp:lastModifiedBy>Administrator</cp:lastModifiedBy>
  <dcterms:modified xsi:type="dcterms:W3CDTF">2026-02-12T09:14:17Z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46629C792D394032B87C970129F902FE_13</vt:lpwstr>
  </property>
  <property fmtid="{D5CDD505-2E9C-101B-9397-08002B2CF9AE}" pid="4" name="KSOTemplateDocerSaveRecord">
    <vt:lpwstr>eyJoZGlkIjoiNGQ5ODQ5N2Q1NmI0ZDAwYTJiMTcyMmU3ZjhhMWE4NmEifQ==</vt:lpwstr>
  </property>
</Properties>
</file>