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6B840">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48CB78F7">
      <w:pPr>
        <w:spacing w:line="360" w:lineRule="auto"/>
        <w:contextualSpacing/>
        <w:jc w:val="center"/>
        <w:rPr>
          <w:rFonts w:hint="default" w:cs="宋体" w:asciiTheme="majorEastAsia" w:hAnsiTheme="majorEastAsia" w:eastAsiaTheme="majorEastAsia"/>
          <w:b/>
          <w:bCs/>
          <w:sz w:val="36"/>
          <w:szCs w:val="36"/>
          <w:lang w:val="en-US" w:eastAsia="zh-CN"/>
        </w:rPr>
      </w:pPr>
      <w:r>
        <w:rPr>
          <w:rFonts w:hint="eastAsia" w:cs="宋体" w:asciiTheme="majorEastAsia" w:hAnsiTheme="majorEastAsia" w:eastAsiaTheme="majorEastAsia"/>
          <w:b/>
          <w:bCs/>
          <w:sz w:val="36"/>
          <w:szCs w:val="36"/>
        </w:rPr>
        <w:t>南昌大学数学与计算机学院</w:t>
      </w:r>
      <w:r>
        <w:rPr>
          <w:rFonts w:hint="eastAsia" w:cs="宋体" w:asciiTheme="majorEastAsia" w:hAnsiTheme="majorEastAsia" w:eastAsiaTheme="majorEastAsia"/>
          <w:b/>
          <w:bCs/>
          <w:sz w:val="36"/>
          <w:szCs w:val="36"/>
          <w:lang w:val="en-US" w:eastAsia="zh-CN"/>
        </w:rPr>
        <w:t>数学专业</w:t>
      </w:r>
    </w:p>
    <w:p w14:paraId="36B19D69">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同等学力申请硕士学位招生简章</w:t>
      </w:r>
    </w:p>
    <w:p w14:paraId="01B5967A">
      <w:pPr>
        <w:tabs>
          <w:tab w:val="left" w:pos="2820"/>
        </w:tabs>
        <w:spacing w:line="360" w:lineRule="auto"/>
        <w:contextualSpacing/>
        <w:jc w:val="left"/>
        <w:rPr>
          <w:rFonts w:cs="宋体" w:asciiTheme="minorEastAsia" w:hAnsiTheme="minorEastAsia"/>
          <w:sz w:val="24"/>
        </w:rPr>
      </w:pPr>
    </w:p>
    <w:p w14:paraId="5FC9E9F3">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58F01AB9">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3B195D73">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南昌大学数学与计算机学院于 2022 年 1 月完成学科调整并组建运行。现有两系一中心（数学系、计算机科学与技术系、计算中心），在校本科生1627人，博硕研究生768人。学院现有教职工208人，其中专任教师162人。专任教师中教授29人，副教授69人，具有博士学位90人，博士生导师28人，硕士生导师104人。</w:t>
      </w:r>
    </w:p>
    <w:p w14:paraId="11086953">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学院有“国家杰出青年基金”获得者、享受国务院特殊津贴专家、国家宝钢教育奖获得者、江西省主要学科学术和技术带头人、江西省杰青、江西省双高（原江西省新世纪百千万人才工程）人选、井冈学者、江西省青年科学家（原井冈之星）、省级教学名师、江西省金牌教授（教学名师）、江西省高等学校中青年学科带头人、江西省高等学校中青年骨干教师等各类国家级、省部级人才近40人次。有国家级教学团队1个，江西省高水平本科教学团队2个。</w:t>
      </w:r>
    </w:p>
    <w:p w14:paraId="37DE29CA">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lang w:val="en-US" w:eastAsia="zh-CN"/>
        </w:rPr>
        <w:t>为适应全国社会经济发展需求，培养更多数学与计算机领域高层次人才。</w:t>
      </w: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数学与计算机学院决定面向全国开设数学</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416BDAF1">
      <w:pPr>
        <w:spacing w:line="360" w:lineRule="auto"/>
        <w:contextualSpacing/>
        <w:jc w:val="left"/>
        <w:rPr>
          <w:rFonts w:hint="eastAsia" w:cs="宋体" w:asciiTheme="minorEastAsia" w:hAnsiTheme="minorEastAsia"/>
          <w:sz w:val="24"/>
        </w:rPr>
      </w:pPr>
    </w:p>
    <w:p w14:paraId="1134420D">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348784F9">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本专业要求学生系统学习数学和应用数学的基本理论和方法，受到严格的 数学思维训练，掌握计算机的原理和运用手段，并通过教育理论课程和教学实践环节，形成良好的教师素养，能够运用数学知识和使用计算机解决若干实际数学问题，具有现代教育观念，适应教育改革需要，以及具有良好的知识更新能力和创新能力的中等学校数学师资和教育、教学管理工作及科学研究的专门人才。</w:t>
      </w:r>
    </w:p>
    <w:p w14:paraId="333A6833">
      <w:pPr>
        <w:widowControl w:val="0"/>
        <w:numPr>
          <w:ilvl w:val="0"/>
          <w:numId w:val="0"/>
        </w:numPr>
        <w:spacing w:line="360" w:lineRule="auto"/>
        <w:ind w:firstLine="481"/>
        <w:contextualSpacing/>
        <w:jc w:val="left"/>
        <w:rPr>
          <w:rFonts w:hint="default" w:cs="宋体" w:asciiTheme="minorEastAsia" w:hAnsiTheme="minorEastAsia"/>
          <w:b w:val="0"/>
          <w:bCs w:val="0"/>
          <w:color w:val="000000" w:themeColor="text1"/>
          <w:sz w:val="24"/>
          <w:lang w:val="en-US" w:eastAsia="zh-CN"/>
          <w14:textFill>
            <w14:solidFill>
              <w14:schemeClr w14:val="tx1"/>
            </w14:solidFill>
          </w14:textFill>
        </w:rPr>
      </w:pPr>
    </w:p>
    <w:p w14:paraId="3722AA45">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2439FD9B">
      <w:pPr>
        <w:spacing w:line="360" w:lineRule="auto"/>
        <w:ind w:firstLine="480" w:firstLineChars="200"/>
        <w:contextualSpacing/>
        <w:jc w:val="left"/>
        <w:rPr>
          <w:rFonts w:hint="default" w:cs="宋体" w:asciiTheme="minorEastAsia" w:hAnsiTheme="minorEastAsia" w:eastAsiaTheme="minorEastAsia"/>
          <w:sz w:val="24"/>
          <w:lang w:val="en-US" w:eastAsia="zh-CN"/>
        </w:rPr>
      </w:pPr>
      <w:r>
        <w:rPr>
          <w:rFonts w:hint="eastAsia" w:cs="宋体" w:asciiTheme="minorEastAsia" w:hAnsiTheme="minorEastAsia"/>
          <w:sz w:val="24"/>
        </w:rPr>
        <w:t>【</w:t>
      </w:r>
      <w:r>
        <w:rPr>
          <w:rFonts w:hint="eastAsia" w:cs="宋体" w:asciiTheme="minorEastAsia" w:hAnsiTheme="minorEastAsia"/>
          <w:sz w:val="24"/>
          <w:lang w:val="en-US" w:eastAsia="zh-CN"/>
        </w:rPr>
        <w:t>潜力</w:t>
      </w:r>
      <w:r>
        <w:rPr>
          <w:rFonts w:hint="eastAsia" w:cs="宋体" w:asciiTheme="minorEastAsia" w:hAnsiTheme="minorEastAsia"/>
          <w:sz w:val="24"/>
        </w:rPr>
        <w:t>学科】</w:t>
      </w:r>
      <w:r>
        <w:rPr>
          <w:rFonts w:hint="eastAsia" w:cs="宋体" w:asciiTheme="minorEastAsia" w:hAnsiTheme="minorEastAsia"/>
          <w:sz w:val="24"/>
          <w:lang w:val="en-US" w:eastAsia="zh-CN"/>
        </w:rPr>
        <w:t>数学计算机科学等专业是当前前沿潜力发展专业，未来前景广；</w:t>
      </w:r>
    </w:p>
    <w:p w14:paraId="50FBB592">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先学习课程再参加全国统考</w:t>
      </w:r>
      <w:r>
        <w:rPr>
          <w:rFonts w:cs="宋体" w:asciiTheme="minorEastAsia" w:hAnsiTheme="minorEastAsia"/>
          <w:sz w:val="24"/>
        </w:rPr>
        <w:t>；</w:t>
      </w:r>
    </w:p>
    <w:p w14:paraId="25039C40">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1</w:t>
      </w:r>
      <w:r>
        <w:rPr>
          <w:rFonts w:hint="eastAsia" w:cs="宋体" w:asciiTheme="minorEastAsia" w:hAnsiTheme="minorEastAsia"/>
          <w:sz w:val="24"/>
        </w:rPr>
        <w:t>科】</w:t>
      </w:r>
      <w:r>
        <w:rPr>
          <w:rFonts w:hint="eastAsia" w:cs="宋体" w:asciiTheme="minorEastAsia" w:hAnsiTheme="minorEastAsia"/>
          <w:sz w:val="24"/>
          <w:lang w:val="en-US" w:eastAsia="zh-CN"/>
        </w:rPr>
        <w:t>数学全国统考仅考英语1门</w:t>
      </w:r>
      <w:r>
        <w:rPr>
          <w:rFonts w:hint="eastAsia" w:cs="宋体" w:asciiTheme="minorEastAsia" w:hAnsiTheme="minorEastAsia"/>
          <w:sz w:val="24"/>
        </w:rPr>
        <w:t>，60分合格，难度较低；</w:t>
      </w:r>
    </w:p>
    <w:p w14:paraId="52953706">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0C61534F">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394A8126">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52A55E35">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45A31F0F">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r>
        <w:rPr>
          <w:rFonts w:hint="eastAsia" w:cs="宋体" w:asciiTheme="minorEastAsia" w:hAnsiTheme="minorEastAsia"/>
          <w:b/>
          <w:bCs/>
          <w:color w:val="000000" w:themeColor="text1"/>
          <w:sz w:val="24"/>
          <w:lang w:eastAsia="zh-CN"/>
          <w14:textFill>
            <w14:solidFill>
              <w14:schemeClr w14:val="tx1"/>
            </w14:solidFill>
          </w14:textFill>
        </w:rPr>
        <w:t>：</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3E32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237E98FC">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数学专业课程设置</w:t>
            </w:r>
          </w:p>
        </w:tc>
      </w:tr>
      <w:tr w14:paraId="6135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2F8F8ED1">
            <w:pPr>
              <w:rPr>
                <w:rFonts w:hint="eastAsia" w:eastAsia="宋体" w:cs="微软雅黑"/>
                <w:b/>
                <w:bCs/>
                <w:color w:val="000000"/>
                <w:sz w:val="21"/>
                <w:szCs w:val="21"/>
                <w:lang w:val="en-US" w:eastAsia="zh-CN" w:bidi="ar"/>
              </w:rPr>
            </w:pPr>
          </w:p>
          <w:p w14:paraId="0EB82854">
            <w:pPr>
              <w:rPr>
                <w:rFonts w:hint="eastAsia" w:eastAsia="宋体" w:cs="微软雅黑"/>
                <w:b/>
                <w:bCs/>
                <w:color w:val="000000"/>
                <w:sz w:val="21"/>
                <w:szCs w:val="21"/>
                <w:lang w:val="en-US" w:eastAsia="zh-CN" w:bidi="ar"/>
              </w:rPr>
            </w:pPr>
          </w:p>
          <w:p w14:paraId="0FE1E875">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1F94ACDA">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76883C8A">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081B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60B48270">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1E8CBCD2">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08EF5966">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17880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5E797850">
            <w:pPr>
              <w:pStyle w:val="2"/>
              <w:widowControl/>
              <w:spacing w:before="225" w:beforeAutospacing="0" w:after="75" w:afterAutospacing="0"/>
              <w:jc w:val="center"/>
              <w:rPr>
                <w:rFonts w:hint="default"/>
                <w:lang w:val="en-US" w:eastAsia="zh-CN"/>
              </w:rPr>
            </w:pPr>
          </w:p>
          <w:p w14:paraId="4E114491">
            <w:pPr>
              <w:rPr>
                <w:rFonts w:hint="default" w:eastAsia="宋体" w:cs="微软雅黑"/>
                <w:b w:val="0"/>
                <w:color w:val="000000"/>
                <w:sz w:val="21"/>
                <w:szCs w:val="21"/>
                <w:lang w:val="en-US" w:eastAsia="zh-CN" w:bidi="ar"/>
              </w:rPr>
            </w:pPr>
          </w:p>
          <w:p w14:paraId="4700E2A6">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6934CA31">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3B9DF2A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概率论与数理统计</w:t>
            </w:r>
          </w:p>
        </w:tc>
        <w:tc>
          <w:tcPr>
            <w:tcW w:w="3472" w:type="dxa"/>
            <w:noWrap w:val="0"/>
            <w:vAlign w:val="top"/>
          </w:tcPr>
          <w:p w14:paraId="42FF605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数学教学论</w:t>
            </w:r>
          </w:p>
        </w:tc>
      </w:tr>
      <w:tr w14:paraId="5B16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28325EE9">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DE1B2F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数学分析选讲</w:t>
            </w:r>
          </w:p>
        </w:tc>
        <w:tc>
          <w:tcPr>
            <w:tcW w:w="3472" w:type="dxa"/>
            <w:noWrap w:val="0"/>
            <w:vAlign w:val="top"/>
          </w:tcPr>
          <w:p w14:paraId="0BAC5B20">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数学与应用数学</w:t>
            </w:r>
          </w:p>
        </w:tc>
      </w:tr>
      <w:tr w14:paraId="0B37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59A1ED4B">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073DA60C">
            <w:pPr>
              <w:pStyle w:val="2"/>
              <w:widowControl/>
              <w:spacing w:before="225" w:beforeAutospacing="0" w:after="75" w:afterAutospacing="0"/>
              <w:jc w:val="center"/>
              <w:rPr>
                <w:rFonts w:hint="default" w:eastAsia="宋体" w:cs="微软雅黑"/>
                <w:b w:val="0"/>
                <w:bCs/>
                <w:color w:val="000000"/>
                <w:sz w:val="21"/>
                <w:szCs w:val="21"/>
                <w:lang w:val="en-US" w:eastAsia="zh-CN" w:bidi="ar"/>
              </w:rPr>
            </w:pPr>
            <w:r>
              <w:rPr>
                <w:rFonts w:hint="default" w:eastAsia="宋体" w:cs="微软雅黑"/>
                <w:b w:val="0"/>
                <w:bCs/>
                <w:color w:val="000000"/>
                <w:sz w:val="21"/>
                <w:szCs w:val="21"/>
                <w:lang w:val="en-US" w:eastAsia="zh-CN" w:bidi="ar"/>
              </w:rPr>
              <w:t>高等代数选讲</w:t>
            </w:r>
          </w:p>
        </w:tc>
        <w:tc>
          <w:tcPr>
            <w:tcW w:w="3472" w:type="dxa"/>
            <w:noWrap w:val="0"/>
            <w:vAlign w:val="top"/>
          </w:tcPr>
          <w:p w14:paraId="1C1FB111">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数学教育学等</w:t>
            </w:r>
          </w:p>
        </w:tc>
      </w:tr>
      <w:tr w14:paraId="58A3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B53F3DB">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0A3158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复变函数</w:t>
            </w:r>
          </w:p>
        </w:tc>
        <w:tc>
          <w:tcPr>
            <w:tcW w:w="3472" w:type="dxa"/>
            <w:noWrap w:val="0"/>
            <w:vAlign w:val="top"/>
          </w:tcPr>
          <w:p w14:paraId="768A4FBB">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近世代数</w:t>
            </w:r>
          </w:p>
        </w:tc>
      </w:tr>
      <w:tr w14:paraId="40784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center"/>
          </w:tcPr>
          <w:p w14:paraId="555FBBBA">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51F07F0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小学数学教材教法</w:t>
            </w:r>
          </w:p>
        </w:tc>
        <w:tc>
          <w:tcPr>
            <w:tcW w:w="3472" w:type="dxa"/>
            <w:noWrap w:val="0"/>
            <w:vAlign w:val="top"/>
          </w:tcPr>
          <w:p w14:paraId="6E6D93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初等数论</w:t>
            </w:r>
          </w:p>
        </w:tc>
      </w:tr>
      <w:tr w14:paraId="0447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2188DE5">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2010F9F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泛函分析</w:t>
            </w:r>
          </w:p>
        </w:tc>
        <w:tc>
          <w:tcPr>
            <w:tcW w:w="3472" w:type="dxa"/>
            <w:noWrap w:val="0"/>
            <w:vAlign w:val="top"/>
          </w:tcPr>
          <w:p w14:paraId="47DB9D6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拓扑</w:t>
            </w:r>
          </w:p>
        </w:tc>
      </w:tr>
    </w:tbl>
    <w:p w14:paraId="63C16F98">
      <w:pPr>
        <w:widowControl w:val="0"/>
        <w:numPr>
          <w:ilvl w:val="0"/>
          <w:numId w:val="0"/>
        </w:numPr>
        <w:spacing w:line="360" w:lineRule="auto"/>
        <w:contextualSpacing/>
        <w:jc w:val="center"/>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133170C8">
      <w:pPr>
        <w:widowControl w:val="0"/>
        <w:numPr>
          <w:ilvl w:val="0"/>
          <w:numId w:val="0"/>
        </w:numPr>
        <w:spacing w:line="360" w:lineRule="auto"/>
        <w:contextualSpacing/>
        <w:jc w:val="left"/>
        <w:rPr>
          <w:rFonts w:hint="eastAsia" w:cs="宋体" w:asciiTheme="minorEastAsia" w:hAnsiTheme="minorEastAsia"/>
          <w:b/>
          <w:bCs/>
          <w:color w:val="000000" w:themeColor="text1"/>
          <w:sz w:val="24"/>
          <w:lang w:eastAsia="zh-CN"/>
          <w14:textFill>
            <w14:solidFill>
              <w14:schemeClr w14:val="tx1"/>
            </w14:solidFill>
          </w14:textFill>
        </w:rPr>
      </w:pPr>
    </w:p>
    <w:p w14:paraId="4862F17E">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p>
    <w:p w14:paraId="0920430B">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320E78E4">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1395B6A2">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p>
    <w:p w14:paraId="3BD468AC">
      <w:pPr>
        <w:spacing w:line="360" w:lineRule="auto"/>
        <w:ind w:firstLine="482" w:firstLineChars="200"/>
        <w:contextualSpacing/>
        <w:jc w:val="left"/>
        <w:rPr>
          <w:rFonts w:hint="eastAsia" w:cs="宋体" w:asciiTheme="minorEastAsia" w:hAnsiTheme="minorEastAsia"/>
          <w:b/>
          <w:bCs/>
          <w:color w:val="FF0000"/>
          <w:sz w:val="24"/>
          <w:lang w:val="en-US" w:eastAsia="zh-CN"/>
        </w:rPr>
      </w:pPr>
      <w:r>
        <w:rPr>
          <w:rFonts w:hint="eastAsia" w:cs="宋体" w:asciiTheme="minorEastAsia" w:hAnsiTheme="minorEastAsia"/>
          <w:b/>
          <w:bCs/>
          <w:color w:val="FF0000"/>
          <w:sz w:val="24"/>
          <w:lang w:val="en-US" w:eastAsia="zh-CN"/>
        </w:rPr>
        <w:t>注:不接收跨学科学生</w:t>
      </w:r>
    </w:p>
    <w:p w14:paraId="4CE4C4F9">
      <w:pPr>
        <w:spacing w:line="360" w:lineRule="auto"/>
        <w:ind w:firstLine="482" w:firstLineChars="200"/>
        <w:contextualSpacing/>
        <w:jc w:val="left"/>
        <w:rPr>
          <w:rFonts w:hint="eastAsia" w:cs="宋体" w:asciiTheme="minorEastAsia" w:hAnsiTheme="minorEastAsia"/>
          <w:b/>
          <w:bCs/>
          <w:color w:val="FF0000"/>
          <w:sz w:val="24"/>
          <w:lang w:val="en-US" w:eastAsia="zh-CN"/>
        </w:rPr>
      </w:pPr>
    </w:p>
    <w:p w14:paraId="0401593D">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77171627">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课程学习培养费1</w:t>
      </w:r>
      <w:r>
        <w:rPr>
          <w:rFonts w:hint="eastAsia" w:cs="仿宋_GB2312" w:asciiTheme="minorEastAsia" w:hAnsiTheme="minorEastAsia"/>
          <w:color w:val="000000"/>
          <w:lang w:val="en-US" w:eastAsia="zh-CN"/>
        </w:rPr>
        <w:t>61</w:t>
      </w:r>
      <w:r>
        <w:rPr>
          <w:rFonts w:hint="eastAsia" w:cs="仿宋_GB2312" w:asciiTheme="minorEastAsia" w:hAnsiTheme="minorEastAsia"/>
          <w:color w:val="000000"/>
        </w:rPr>
        <w:t>00元</w:t>
      </w:r>
    </w:p>
    <w:p w14:paraId="4181D382">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6</w:t>
      </w:r>
      <w:r>
        <w:rPr>
          <w:rFonts w:hint="eastAsia" w:cs="仿宋_GB2312" w:asciiTheme="minorEastAsia" w:hAnsiTheme="minorEastAsia"/>
          <w:color w:val="000000"/>
        </w:rPr>
        <w:t>000元</w:t>
      </w:r>
    </w:p>
    <w:p w14:paraId="73C818C6">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35B5FEDE">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39CF61F7">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1EADE666">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10B0A47E">
      <w:pPr>
        <w:spacing w:line="360" w:lineRule="auto"/>
        <w:contextualSpacing/>
        <w:jc w:val="left"/>
        <w:rPr>
          <w:rFonts w:cs="宋体" w:asciiTheme="minorEastAsia" w:hAnsiTheme="minorEastAsia"/>
          <w:sz w:val="24"/>
        </w:rPr>
      </w:pPr>
    </w:p>
    <w:p w14:paraId="3F412C4C">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507A99BD">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54D1B6AB">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132254DF">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5B4302D3">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46293862">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3F7DC622">
      <w:pPr>
        <w:spacing w:line="360" w:lineRule="auto"/>
        <w:contextualSpacing/>
        <w:jc w:val="left"/>
        <w:rPr>
          <w:rFonts w:cs="宋体" w:asciiTheme="minorEastAsia" w:hAnsiTheme="minorEastAsia"/>
          <w:sz w:val="24"/>
        </w:rPr>
      </w:pPr>
    </w:p>
    <w:p w14:paraId="549BF767">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6CDD1C5A">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51CB94D4">
      <w:pPr>
        <w:spacing w:line="360" w:lineRule="auto"/>
        <w:ind w:firstLine="480" w:firstLineChars="200"/>
        <w:contextualSpacing/>
        <w:jc w:val="left"/>
        <w:rPr>
          <w:rFonts w:hint="eastAsia" w:cs="宋体" w:asciiTheme="minorEastAsia" w:hAnsiTheme="minorEastAsia"/>
          <w:sz w:val="24"/>
        </w:rPr>
      </w:pPr>
    </w:p>
    <w:p w14:paraId="134CC4B9">
      <w:pPr>
        <w:jc w:val="both"/>
        <w:rPr>
          <w:rFonts w:hint="eastAsia" w:cs="宋体" w:asciiTheme="majorEastAsia" w:hAnsiTheme="majorEastAsia" w:eastAsiaTheme="majorEastAsia"/>
          <w:b/>
          <w:bCs/>
          <w:sz w:val="36"/>
          <w:szCs w:val="36"/>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abelCBook">
    <w:altName w:val="★懐流体"/>
    <w:panose1 w:val="00000000000000000000"/>
    <w:charset w:val="00"/>
    <w:family w:val="auto"/>
    <w:pitch w:val="default"/>
    <w:sig w:usb0="00000000" w:usb1="00000000" w:usb2="00000000" w:usb3="00000000" w:csb0="00000000" w:csb1="00000000"/>
  </w:font>
  <w:font w:name="Glyphicons Halflings">
    <w:altName w:val="★懐流体"/>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Arial">
    <w:panose1 w:val="020B0604020202020204"/>
    <w:charset w:val="00"/>
    <w:family w:val="auto"/>
    <w:pitch w:val="default"/>
    <w:sig w:usb0="E0002EFF" w:usb1="C000785B" w:usb2="00000009" w:usb3="00000000" w:csb0="400001FF" w:csb1="FFFF0000"/>
  </w:font>
  <w:font w:name="★懐流体">
    <w:panose1 w:val="02000600000000000000"/>
    <w:charset w:val="80"/>
    <w:family w:val="auto"/>
    <w:pitch w:val="default"/>
    <w:sig w:usb0="A00002BF" w:usb1="68C7FCFB" w:usb2="00000010" w:usb3="00000000" w:csb0="4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B4D22">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2B76984"/>
    <w:rsid w:val="09903C9B"/>
    <w:rsid w:val="162A63E6"/>
    <w:rsid w:val="1B8C1119"/>
    <w:rsid w:val="23081069"/>
    <w:rsid w:val="3A541CD3"/>
    <w:rsid w:val="3BE155F6"/>
    <w:rsid w:val="446B64B3"/>
    <w:rsid w:val="452C63A7"/>
    <w:rsid w:val="4EA60DAF"/>
    <w:rsid w:val="508605D9"/>
    <w:rsid w:val="56D96AA1"/>
    <w:rsid w:val="5DE7469C"/>
    <w:rsid w:val="62255368"/>
    <w:rsid w:val="77291A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bCs/>
    </w:rPr>
  </w:style>
  <w:style w:type="character" w:styleId="10">
    <w:name w:val="FollowedHyperlink"/>
    <w:basedOn w:val="8"/>
    <w:uiPriority w:val="0"/>
    <w:rPr>
      <w:color w:val="337AB7"/>
      <w:u w:val="none"/>
      <w:shd w:val="clear" w:fill="D9534F"/>
    </w:rPr>
  </w:style>
  <w:style w:type="character" w:styleId="11">
    <w:name w:val="HTML Definition"/>
    <w:basedOn w:val="8"/>
    <w:uiPriority w:val="0"/>
    <w:rPr>
      <w:i/>
      <w:iCs/>
      <w:bdr w:val="none" w:color="auto" w:sz="0" w:space="0"/>
    </w:rPr>
  </w:style>
  <w:style w:type="character" w:styleId="12">
    <w:name w:val="Hyperlink"/>
    <w:basedOn w:val="8"/>
    <w:uiPriority w:val="0"/>
    <w:rPr>
      <w:color w:val="337AB7"/>
      <w:u w:val="none"/>
    </w:rPr>
  </w:style>
  <w:style w:type="character" w:styleId="13">
    <w:name w:val="HTML Code"/>
    <w:basedOn w:val="8"/>
    <w:uiPriority w:val="0"/>
    <w:rPr>
      <w:rFonts w:ascii="Consolas" w:hAnsi="Consolas" w:eastAsia="Consolas" w:cs="Consolas"/>
      <w:color w:val="C7254E"/>
      <w:sz w:val="21"/>
      <w:szCs w:val="21"/>
      <w:bdr w:val="none" w:color="auto" w:sz="0" w:space="0"/>
      <w:shd w:val="clear" w:fill="F9F2F4"/>
    </w:rPr>
  </w:style>
  <w:style w:type="character" w:styleId="14">
    <w:name w:val="HTML Keyboard"/>
    <w:basedOn w:val="8"/>
    <w:uiPriority w:val="0"/>
    <w:rPr>
      <w:rFonts w:hint="default" w:ascii="Consolas" w:hAnsi="Consolas" w:eastAsia="Consolas" w:cs="Consolas"/>
      <w:color w:val="FFFFFF"/>
      <w:sz w:val="21"/>
      <w:szCs w:val="21"/>
      <w:bdr w:val="none" w:color="auto" w:sz="0" w:space="0"/>
      <w:shd w:val="clear" w:fill="333333"/>
    </w:rPr>
  </w:style>
  <w:style w:type="character" w:styleId="15">
    <w:name w:val="HTML Sample"/>
    <w:basedOn w:val="8"/>
    <w:uiPriority w:val="0"/>
    <w:rPr>
      <w:rFonts w:hint="default" w:ascii="Consolas" w:hAnsi="Consolas" w:eastAsia="Consolas" w:cs="Consolas"/>
      <w:sz w:val="21"/>
      <w:szCs w:val="21"/>
    </w:rPr>
  </w:style>
  <w:style w:type="character" w:customStyle="1" w:styleId="16">
    <w:name w:val="add"/>
    <w:basedOn w:val="8"/>
    <w:uiPriority w:val="0"/>
  </w:style>
  <w:style w:type="character" w:customStyle="1" w:styleId="17">
    <w:name w:val="tsxm"/>
    <w:basedOn w:val="8"/>
    <w:uiPriority w:val="0"/>
    <w:rPr>
      <w:bdr w:val="single" w:color="337AB7" w:sz="6" w:space="0"/>
    </w:rPr>
  </w:style>
  <w:style w:type="character" w:customStyle="1" w:styleId="18">
    <w:name w:val="sjsk"/>
    <w:basedOn w:val="8"/>
    <w:uiPriority w:val="0"/>
  </w:style>
  <w:style w:type="character" w:customStyle="1" w:styleId="19">
    <w:name w:val="name"/>
    <w:basedOn w:val="8"/>
    <w:uiPriority w:val="0"/>
    <w:rPr>
      <w:color w:val="FFFFFF"/>
      <w:sz w:val="33"/>
      <w:szCs w:val="33"/>
      <w:bdr w:val="none" w:color="auto" w:sz="0" w:space="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1689</Words>
  <Characters>1724</Characters>
  <Lines>0</Lines>
  <Paragraphs>0</Paragraphs>
  <TotalTime>0</TotalTime>
  <ScaleCrop>false</ScaleCrop>
  <LinksUpToDate>false</LinksUpToDate>
  <CharactersWithSpaces>1733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2026-02-12T05:57:16Z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1DCBAD07B44E46E7BE01DBC71D65A778_13</vt:lpwstr>
  </property>
  <property fmtid="{D5CDD505-2E9C-101B-9397-08002B2CF9AE}" pid="4" name="KSOTemplateDocerSaveRecord">
    <vt:lpwstr>eyJoZGlkIjoiNGQ5ODQ5N2Q1NmI0ZDAwYTJiMTcyMmU3ZjhhMWE4NmEifQ==</vt:lpwstr>
  </property>
</Properties>
</file>