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506B8">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558354F8">
      <w:pPr>
        <w:spacing w:line="360" w:lineRule="auto"/>
        <w:contextualSpacing/>
        <w:jc w:val="center"/>
        <w:rPr>
          <w:rFonts w:hint="eastAsia"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w:t>
      </w:r>
      <w:r>
        <w:rPr>
          <w:rFonts w:hint="eastAsia" w:cs="宋体" w:asciiTheme="majorEastAsia" w:hAnsiTheme="majorEastAsia" w:eastAsiaTheme="majorEastAsia"/>
          <w:b/>
          <w:bCs/>
          <w:sz w:val="36"/>
          <w:szCs w:val="36"/>
          <w:lang w:val="en-US" w:eastAsia="zh-CN"/>
        </w:rPr>
        <w:t>人文</w:t>
      </w:r>
      <w:r>
        <w:rPr>
          <w:rFonts w:hint="eastAsia" w:cs="宋体" w:asciiTheme="majorEastAsia" w:hAnsiTheme="majorEastAsia" w:eastAsiaTheme="majorEastAsia"/>
          <w:b/>
          <w:bCs/>
          <w:sz w:val="36"/>
          <w:szCs w:val="36"/>
        </w:rPr>
        <w:t>学院中国古代文学</w:t>
      </w:r>
      <w:r>
        <w:rPr>
          <w:rFonts w:hint="eastAsia" w:cs="宋体" w:asciiTheme="majorEastAsia" w:hAnsiTheme="majorEastAsia" w:eastAsiaTheme="majorEastAsia"/>
          <w:b/>
          <w:bCs/>
          <w:sz w:val="36"/>
          <w:szCs w:val="36"/>
          <w:lang w:val="en-US" w:eastAsia="zh-CN"/>
        </w:rPr>
        <w:t>专业</w:t>
      </w:r>
    </w:p>
    <w:p w14:paraId="10590115">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1249CAA6">
      <w:pPr>
        <w:tabs>
          <w:tab w:val="left" w:pos="2820"/>
        </w:tabs>
        <w:spacing w:line="360" w:lineRule="auto"/>
        <w:contextualSpacing/>
        <w:jc w:val="left"/>
        <w:rPr>
          <w:rFonts w:cs="宋体" w:asciiTheme="minorEastAsia" w:hAnsiTheme="minorEastAsia"/>
          <w:sz w:val="24"/>
        </w:rPr>
      </w:pPr>
    </w:p>
    <w:p w14:paraId="3E31E128">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01F6AFB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2D2A4834">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人文学院成立于1995年，现有中国语言文学、历史学、哲学3个系，学院现有哲学、中国语言文学2个一级博士点，文化资源与产业管理、历史遗产管理2个二级博士点，中国语言文学、中国史、哲学3个一级学科硕士学位授权点，有中国哲学、科学技术哲学、伦理学、马克思主义哲学、外国哲学、宗教学、文艺学、汉语言文字学、中国古典文献学、中国古代文学、中国现当代文学、比较文学与世界文学、语言学及应用语言学、汉语国际教育、中国史、档案学、国学专业17个二级学科硕士点</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学院现有教职工171人，其中教授47人，副教授32人，具有博士学位教师132人，在读博士1人，占比90.85%。师资队伍实力雄厚，他们中既有德高望重的老一辈学者，也有初露锋芒的青年专家，是科学研究、文化传承创新的中坚力量，学术水准跻身于学界先进行列。</w:t>
      </w:r>
    </w:p>
    <w:p w14:paraId="4A51BCB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人文学院</w:t>
      </w:r>
      <w:r>
        <w:rPr>
          <w:rFonts w:hint="eastAsia" w:ascii="宋体" w:hAnsi="宋体" w:eastAsia="宋体" w:cs="宋体"/>
          <w:i w:val="0"/>
          <w:iCs w:val="0"/>
          <w:caps w:val="0"/>
          <w:color w:val="000000"/>
          <w:spacing w:val="0"/>
          <w:sz w:val="24"/>
          <w:szCs w:val="24"/>
          <w:shd w:val="clear" w:fill="FFFFFF"/>
        </w:rPr>
        <w:t>研究</w:t>
      </w:r>
      <w:r>
        <w:rPr>
          <w:rFonts w:hint="eastAsia" w:ascii="宋体" w:hAnsi="宋体" w:eastAsia="宋体" w:cs="宋体"/>
          <w:i w:val="0"/>
          <w:iCs w:val="0"/>
          <w:caps w:val="0"/>
          <w:color w:val="000000"/>
          <w:spacing w:val="0"/>
          <w:sz w:val="24"/>
          <w:szCs w:val="24"/>
          <w:shd w:val="clear" w:fill="FFFFFF"/>
          <w:lang w:val="en-US" w:eastAsia="zh-CN"/>
        </w:rPr>
        <w:t>决定面向全国开设中国古代文学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1AE530E9">
      <w:pPr>
        <w:spacing w:line="360" w:lineRule="auto"/>
        <w:contextualSpacing/>
        <w:jc w:val="left"/>
        <w:rPr>
          <w:rFonts w:hint="eastAsia" w:cs="宋体" w:asciiTheme="minorEastAsia" w:hAnsiTheme="minorEastAsia"/>
          <w:sz w:val="24"/>
        </w:rPr>
      </w:pPr>
    </w:p>
    <w:p w14:paraId="31F6BE62">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69D910DF">
      <w:pPr>
        <w:spacing w:line="360" w:lineRule="auto"/>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 xml:space="preserve"> 本专业主要是系统掌握中国古代文学专业的基本理论和专门知识，了解学科发展现状、动态和趋势，掌握本专业特有的研究方法，了解其他相关学科的研究方法，并能灵活运用，解决问题。培养具有坚定政治理想和职业信念，自觉传承中华优秀传统文化，具备中国古代文学专业素养和一定科研能力，能够在高等院校、科研单位、新闻出版机构、政府机关以及中小学从事教学或研究等工作的高素质人才。</w:t>
      </w:r>
    </w:p>
    <w:p w14:paraId="0CDED164">
      <w:pPr>
        <w:spacing w:line="360" w:lineRule="auto"/>
        <w:contextualSpacing/>
        <w:jc w:val="left"/>
        <w:rPr>
          <w:rFonts w:hint="default" w:ascii="宋体" w:hAnsi="宋体" w:eastAsia="宋体" w:cs="宋体"/>
          <w:i w:val="0"/>
          <w:iCs w:val="0"/>
          <w:caps w:val="0"/>
          <w:color w:val="000000"/>
          <w:spacing w:val="0"/>
          <w:sz w:val="24"/>
          <w:szCs w:val="24"/>
          <w:shd w:val="clear" w:fill="FFFFFF"/>
          <w:lang w:val="en-US" w:eastAsia="zh-CN"/>
        </w:rPr>
      </w:pPr>
    </w:p>
    <w:p w14:paraId="58B0BFD6">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40AA2418">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重点</w:t>
      </w:r>
      <w:r>
        <w:rPr>
          <w:rFonts w:hint="eastAsia" w:cs="宋体" w:asciiTheme="minorEastAsia" w:hAnsiTheme="minorEastAsia"/>
          <w:sz w:val="24"/>
        </w:rPr>
        <w:t>学科】</w:t>
      </w:r>
      <w:r>
        <w:rPr>
          <w:rFonts w:hint="eastAsia" w:cs="宋体" w:asciiTheme="minorEastAsia" w:hAnsiTheme="minorEastAsia"/>
          <w:sz w:val="24"/>
          <w:lang w:val="en-US" w:eastAsia="zh-CN"/>
        </w:rPr>
        <w:t>学院拥有众多文学相关硕士学位重点学科，宽口径、精专业；</w:t>
      </w:r>
    </w:p>
    <w:p w14:paraId="320BF972">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可跨专业报读，先学习后考试</w:t>
      </w:r>
      <w:r>
        <w:rPr>
          <w:rFonts w:cs="宋体" w:asciiTheme="minorEastAsia" w:hAnsiTheme="minorEastAsia"/>
          <w:sz w:val="24"/>
        </w:rPr>
        <w:t>；</w:t>
      </w:r>
    </w:p>
    <w:p w14:paraId="2295D05B">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【申硕仅考</w:t>
      </w:r>
      <w:r>
        <w:rPr>
          <w:rFonts w:hint="eastAsia" w:cs="宋体" w:asciiTheme="minorEastAsia" w:hAnsiTheme="minorEastAsia"/>
          <w:sz w:val="24"/>
          <w:lang w:val="en-US" w:eastAsia="zh-CN"/>
        </w:rPr>
        <w:t>2</w:t>
      </w:r>
      <w:r>
        <w:rPr>
          <w:rFonts w:hint="eastAsia" w:cs="宋体" w:asciiTheme="minorEastAsia" w:hAnsiTheme="minorEastAsia"/>
          <w:sz w:val="24"/>
        </w:rPr>
        <w:t>科】满足条件的学员可申请申硕考试，仅考</w:t>
      </w:r>
      <w:r>
        <w:rPr>
          <w:rFonts w:hint="eastAsia" w:cs="宋体" w:asciiTheme="minorEastAsia" w:hAnsiTheme="minorEastAsia"/>
          <w:sz w:val="24"/>
          <w:lang w:val="en-US" w:eastAsia="zh-CN"/>
        </w:rPr>
        <w:t>学科综合+</w:t>
      </w:r>
      <w:r>
        <w:rPr>
          <w:rFonts w:hint="eastAsia" w:cs="宋体" w:asciiTheme="minorEastAsia" w:hAnsiTheme="minorEastAsia"/>
          <w:sz w:val="24"/>
        </w:rPr>
        <w:t>外语</w:t>
      </w:r>
      <w:r>
        <w:rPr>
          <w:rFonts w:hint="eastAsia" w:cs="宋体" w:asciiTheme="minorEastAsia" w:hAnsiTheme="minorEastAsia"/>
          <w:sz w:val="24"/>
          <w:lang w:val="en-US" w:eastAsia="zh-CN"/>
        </w:rPr>
        <w:t>2</w:t>
      </w:r>
      <w:r>
        <w:rPr>
          <w:rFonts w:hint="eastAsia" w:cs="宋体" w:asciiTheme="minorEastAsia" w:hAnsiTheme="minorEastAsia"/>
          <w:sz w:val="24"/>
        </w:rPr>
        <w:t>科，百分制60分合格，难度较低；</w:t>
      </w:r>
    </w:p>
    <w:p w14:paraId="7FE7B3B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297E202C">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2921DC9A">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752CEA21">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1A9C5D6C">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52EF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53CF6E2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中国古代文学专业课程设置</w:t>
            </w:r>
          </w:p>
        </w:tc>
      </w:tr>
      <w:tr w14:paraId="5E1E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6AED37C">
            <w:pPr>
              <w:rPr>
                <w:rFonts w:hint="eastAsia" w:eastAsia="宋体" w:cs="微软雅黑"/>
                <w:b/>
                <w:bCs/>
                <w:color w:val="000000"/>
                <w:sz w:val="21"/>
                <w:szCs w:val="21"/>
                <w:lang w:val="en-US" w:eastAsia="zh-CN" w:bidi="ar"/>
              </w:rPr>
            </w:pPr>
          </w:p>
          <w:p w14:paraId="536FFEE7">
            <w:pPr>
              <w:rPr>
                <w:rFonts w:hint="eastAsia" w:eastAsia="宋体" w:cs="微软雅黑"/>
                <w:b/>
                <w:bCs/>
                <w:color w:val="000000"/>
                <w:sz w:val="21"/>
                <w:szCs w:val="21"/>
                <w:lang w:val="en-US" w:eastAsia="zh-CN" w:bidi="ar"/>
              </w:rPr>
            </w:pPr>
          </w:p>
          <w:p w14:paraId="1C5BD19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5EFB584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5B04557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322C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692EBF2">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7D392B6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610D0E3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马克思主义经典著作选读</w:t>
            </w:r>
          </w:p>
        </w:tc>
      </w:tr>
      <w:tr w14:paraId="619C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4C88E5">
            <w:pPr>
              <w:pStyle w:val="2"/>
              <w:widowControl/>
              <w:spacing w:before="225" w:beforeAutospacing="0" w:after="75" w:afterAutospacing="0"/>
              <w:jc w:val="center"/>
              <w:rPr>
                <w:rFonts w:hint="default"/>
                <w:lang w:val="en-US" w:eastAsia="zh-CN"/>
              </w:rPr>
            </w:pPr>
          </w:p>
          <w:p w14:paraId="4D798A7F">
            <w:pPr>
              <w:rPr>
                <w:rFonts w:hint="default" w:eastAsia="宋体" w:cs="微软雅黑"/>
                <w:b w:val="0"/>
                <w:color w:val="000000"/>
                <w:sz w:val="21"/>
                <w:szCs w:val="21"/>
                <w:lang w:val="en-US" w:eastAsia="zh-CN" w:bidi="ar"/>
              </w:rPr>
            </w:pPr>
          </w:p>
          <w:p w14:paraId="2E30CC00">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373AEF04">
            <w:pPr>
              <w:rPr>
                <w:rFonts w:hint="eastAsia" w:eastAsia="宋体" w:cs="微软雅黑"/>
                <w:b w:val="0"/>
                <w:color w:val="000000"/>
                <w:sz w:val="21"/>
                <w:szCs w:val="21"/>
                <w:lang w:val="en-US" w:eastAsia="zh-CN" w:bidi="ar"/>
              </w:rPr>
            </w:pPr>
          </w:p>
          <w:p w14:paraId="0A2AC65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38C549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中国文学批评史专题</w:t>
            </w:r>
          </w:p>
        </w:tc>
        <w:tc>
          <w:tcPr>
            <w:tcW w:w="3472" w:type="dxa"/>
            <w:noWrap w:val="0"/>
            <w:vAlign w:val="top"/>
          </w:tcPr>
          <w:p w14:paraId="0DE742E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文献检索与利用</w:t>
            </w:r>
          </w:p>
        </w:tc>
      </w:tr>
      <w:tr w14:paraId="4D09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197E90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0D8112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古代文学要籍概论</w:t>
            </w:r>
          </w:p>
        </w:tc>
        <w:tc>
          <w:tcPr>
            <w:tcW w:w="3472" w:type="dxa"/>
            <w:noWrap w:val="0"/>
            <w:vAlign w:val="top"/>
          </w:tcPr>
          <w:p w14:paraId="6F83EC1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中国文献学史</w:t>
            </w:r>
          </w:p>
        </w:tc>
      </w:tr>
      <w:tr w14:paraId="60D0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9EFB0F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972009E">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color w:val="000000"/>
                <w:sz w:val="21"/>
                <w:szCs w:val="21"/>
                <w:lang w:val="en-US" w:eastAsia="zh-CN" w:bidi="ar"/>
              </w:rPr>
              <w:t>中国古籍校读法</w:t>
            </w:r>
          </w:p>
        </w:tc>
        <w:tc>
          <w:tcPr>
            <w:tcW w:w="3472" w:type="dxa"/>
            <w:noWrap w:val="0"/>
            <w:vAlign w:val="top"/>
          </w:tcPr>
          <w:p w14:paraId="1DB6B98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中国文学与文化</w:t>
            </w:r>
          </w:p>
        </w:tc>
      </w:tr>
      <w:tr w14:paraId="477A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AABE30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C183B6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现代语言学专题</w:t>
            </w:r>
          </w:p>
        </w:tc>
        <w:tc>
          <w:tcPr>
            <w:tcW w:w="3472" w:type="dxa"/>
            <w:noWrap w:val="0"/>
            <w:vAlign w:val="top"/>
          </w:tcPr>
          <w:p w14:paraId="5F7C68E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唐宋诗词与散文研究</w:t>
            </w:r>
          </w:p>
        </w:tc>
      </w:tr>
      <w:tr w14:paraId="068A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2D64342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91224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明清小说戏曲研究</w:t>
            </w:r>
          </w:p>
        </w:tc>
        <w:tc>
          <w:tcPr>
            <w:tcW w:w="3472" w:type="dxa"/>
            <w:noWrap w:val="0"/>
            <w:vAlign w:val="top"/>
          </w:tcPr>
          <w:p w14:paraId="1B078F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文体学专题</w:t>
            </w:r>
          </w:p>
        </w:tc>
      </w:tr>
      <w:tr w14:paraId="5325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30F5FD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6CBC1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史汉导读</w:t>
            </w:r>
          </w:p>
        </w:tc>
        <w:tc>
          <w:tcPr>
            <w:tcW w:w="3472" w:type="dxa"/>
            <w:noWrap w:val="0"/>
            <w:vAlign w:val="top"/>
          </w:tcPr>
          <w:p w14:paraId="10580C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中国山水文化与民俗</w:t>
            </w:r>
          </w:p>
        </w:tc>
      </w:tr>
    </w:tbl>
    <w:p w14:paraId="7E4D2A35">
      <w:pPr>
        <w:widowControl w:val="0"/>
        <w:numPr>
          <w:ilvl w:val="0"/>
          <w:numId w:val="0"/>
        </w:numPr>
        <w:spacing w:line="360" w:lineRule="auto"/>
        <w:contextualSpacing/>
        <w:jc w:val="center"/>
        <w:rPr>
          <w:rFonts w:hint="eastAsia"/>
          <w:sz w:val="21"/>
          <w:szCs w:val="21"/>
          <w:lang w:eastAsia="zh-CN"/>
        </w:rPr>
      </w:pPr>
      <w:r>
        <w:rPr>
          <w:rFonts w:hint="eastAsia"/>
          <w:sz w:val="21"/>
          <w:szCs w:val="21"/>
        </w:rPr>
        <w:t>注：</w:t>
      </w:r>
      <w:r>
        <w:rPr>
          <w:rFonts w:hint="eastAsia"/>
          <w:sz w:val="21"/>
          <w:szCs w:val="21"/>
          <w:lang w:val="en-US" w:eastAsia="zh-CN"/>
        </w:rPr>
        <w:t>具体课程</w:t>
      </w:r>
      <w:r>
        <w:rPr>
          <w:rFonts w:hint="eastAsia"/>
          <w:sz w:val="21"/>
          <w:szCs w:val="21"/>
        </w:rPr>
        <w:t>参照实际教学</w:t>
      </w:r>
    </w:p>
    <w:p w14:paraId="051F67DC">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14D84F7B">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2940AB47">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5B6DF0E5">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261B3A3C">
      <w:pPr>
        <w:spacing w:line="360" w:lineRule="auto"/>
        <w:contextualSpacing/>
        <w:jc w:val="left"/>
        <w:rPr>
          <w:rFonts w:cs="宋体" w:asciiTheme="minorEastAsia" w:hAnsiTheme="minorEastAsia"/>
          <w:sz w:val="24"/>
        </w:rPr>
      </w:pPr>
    </w:p>
    <w:p w14:paraId="72034706">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5B24E26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5B9FBE0F">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54A89645">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0A5BDAAA">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7185FB5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649D7EF4">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5C0C9DB6">
      <w:pPr>
        <w:spacing w:line="360" w:lineRule="auto"/>
        <w:contextualSpacing/>
        <w:jc w:val="left"/>
        <w:rPr>
          <w:rFonts w:cs="宋体" w:asciiTheme="minorEastAsia" w:hAnsiTheme="minorEastAsia"/>
          <w:sz w:val="24"/>
        </w:rPr>
      </w:pPr>
    </w:p>
    <w:p w14:paraId="1C1A02D6">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621AA94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17B8A15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1F393571">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E17F92D">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2870D1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63A904E0">
      <w:pPr>
        <w:spacing w:line="360" w:lineRule="auto"/>
        <w:contextualSpacing/>
        <w:jc w:val="left"/>
        <w:rPr>
          <w:rFonts w:cs="宋体" w:asciiTheme="minorEastAsia" w:hAnsiTheme="minorEastAsia"/>
          <w:sz w:val="24"/>
        </w:rPr>
      </w:pPr>
    </w:p>
    <w:p w14:paraId="7B37C9E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637E02B7">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1E70AE0F">
      <w:pPr>
        <w:spacing w:line="360" w:lineRule="auto"/>
        <w:ind w:firstLine="480" w:firstLineChars="200"/>
        <w:contextualSpacing/>
        <w:jc w:val="left"/>
        <w:rPr>
          <w:rFonts w:hint="eastAsia" w:cs="宋体" w:asciiTheme="minorEastAsia" w:hAnsiTheme="minorEastAsia"/>
          <w:sz w:val="24"/>
        </w:rPr>
      </w:pPr>
    </w:p>
    <w:p w14:paraId="54D02A75">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C4E6">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FE5381"/>
    <w:rsid w:val="08D74EA3"/>
    <w:rsid w:val="0930139D"/>
    <w:rsid w:val="09903C9B"/>
    <w:rsid w:val="0BF57155"/>
    <w:rsid w:val="101A0953"/>
    <w:rsid w:val="115F06D1"/>
    <w:rsid w:val="142D2B74"/>
    <w:rsid w:val="162A63E6"/>
    <w:rsid w:val="1A891517"/>
    <w:rsid w:val="28107987"/>
    <w:rsid w:val="33145317"/>
    <w:rsid w:val="379023B6"/>
    <w:rsid w:val="3BE155F6"/>
    <w:rsid w:val="3EE2253C"/>
    <w:rsid w:val="446B64B3"/>
    <w:rsid w:val="4A8B09C9"/>
    <w:rsid w:val="4B980244"/>
    <w:rsid w:val="4EA60DAF"/>
    <w:rsid w:val="508605D9"/>
    <w:rsid w:val="56D96AA1"/>
    <w:rsid w:val="57DE2C1F"/>
    <w:rsid w:val="644353E5"/>
    <w:rsid w:val="67EE0E11"/>
    <w:rsid w:val="75B33322"/>
    <w:rsid w:val="769B452E"/>
    <w:rsid w:val="7A634A75"/>
    <w:rsid w:val="7D7F5E73"/>
    <w:rsid w:val="7E62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1715</Words>
  <Characters>1746</Characters>
  <Lines>0</Lines>
  <Paragraphs>0</Paragraphs>
  <TotalTime>0</TotalTime>
  <ScaleCrop>false</ScaleCrop>
  <LinksUpToDate>false</LinksUpToDate>
  <CharactersWithSpaces>1751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56FFDA0B38444F369EC3C41F1A35B234_13</vt:lpwstr>
  </property>
  <property fmtid="{D5CDD505-2E9C-101B-9397-08002B2CF9AE}" pid="4" name="KSOTemplateDocerSaveRecord">
    <vt:lpwstr>eyJoZGlkIjoiNGQ5ODQ5N2Q1NmI0ZDAwYTJiMTcyMmU3ZjhhMWE4NmEifQ==</vt:lpwstr>
  </property>
</Properties>
</file>