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A44EAA">
      <w:pPr>
        <w:jc w:val="center"/>
      </w:pPr>
      <w:r>
        <w:drawing>
          <wp:inline distT="0" distB="0" distL="114300" distR="114300">
            <wp:extent cx="3602355" cy="1275715"/>
            <wp:effectExtent l="0" t="0" r="17145"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3602355" cy="1275715"/>
                    </a:xfrm>
                    <a:prstGeom prst="rect">
                      <a:avLst/>
                    </a:prstGeom>
                    <a:noFill/>
                    <a:ln>
                      <a:noFill/>
                    </a:ln>
                  </pic:spPr>
                </pic:pic>
              </a:graphicData>
            </a:graphic>
          </wp:inline>
        </w:drawing>
      </w:r>
    </w:p>
    <w:p w14:paraId="7658758D">
      <w:pPr>
        <w:adjustRightInd w:val="0"/>
        <w:snapToGrid w:val="0"/>
        <w:jc w:val="center"/>
        <w:rPr>
          <w:rFonts w:hint="eastAsia" w:asciiTheme="minorEastAsia" w:hAnsiTheme="minorEastAsia" w:cstheme="minorEastAsia"/>
          <w:b/>
          <w:bCs/>
          <w:sz w:val="36"/>
          <w:szCs w:val="36"/>
          <w:lang w:val="en-US" w:eastAsia="zh-CN"/>
        </w:rPr>
      </w:pPr>
    </w:p>
    <w:p w14:paraId="222969CF">
      <w:pPr>
        <w:adjustRightInd w:val="0"/>
        <w:snapToGrid w:val="0"/>
        <w:jc w:val="center"/>
        <w:rPr>
          <w:rFonts w:hint="eastAsia" w:asciiTheme="minorEastAsia" w:hAnsiTheme="minorEastAsia" w:eastAsiaTheme="minorEastAsia" w:cstheme="minorEastAsia"/>
          <w:b/>
          <w:bCs/>
          <w:sz w:val="32"/>
          <w:szCs w:val="32"/>
        </w:rPr>
      </w:pPr>
      <w:r>
        <w:rPr>
          <w:rFonts w:hint="eastAsia" w:asciiTheme="minorEastAsia" w:hAnsiTheme="minorEastAsia" w:cstheme="minorEastAsia"/>
          <w:b/>
          <w:bCs/>
          <w:sz w:val="32"/>
          <w:szCs w:val="32"/>
          <w:lang w:val="en-US" w:eastAsia="zh-CN"/>
        </w:rPr>
        <w:t>长江</w:t>
      </w:r>
      <w:r>
        <w:rPr>
          <w:rFonts w:hint="eastAsia" w:asciiTheme="minorEastAsia" w:hAnsiTheme="minorEastAsia" w:eastAsiaTheme="minorEastAsia" w:cstheme="minorEastAsia"/>
          <w:b/>
          <w:bCs/>
          <w:sz w:val="32"/>
          <w:szCs w:val="32"/>
        </w:rPr>
        <w:t>大学</w:t>
      </w:r>
      <w:r>
        <w:rPr>
          <w:rFonts w:hint="eastAsia" w:asciiTheme="minorEastAsia" w:hAnsiTheme="minorEastAsia" w:cstheme="minorEastAsia"/>
          <w:b/>
          <w:bCs/>
          <w:sz w:val="32"/>
          <w:szCs w:val="32"/>
          <w:lang w:val="en-US" w:eastAsia="zh-CN"/>
        </w:rPr>
        <w:t>医学部临床医学专业（专业型）</w:t>
      </w:r>
      <w:r>
        <w:rPr>
          <w:rFonts w:hint="eastAsia" w:asciiTheme="minorEastAsia" w:hAnsiTheme="minorEastAsia" w:eastAsiaTheme="minorEastAsia" w:cstheme="minorEastAsia"/>
          <w:b/>
          <w:bCs/>
          <w:sz w:val="32"/>
          <w:szCs w:val="32"/>
        </w:rPr>
        <w:t>同等学力申硕</w:t>
      </w:r>
    </w:p>
    <w:p w14:paraId="7DC88DAA">
      <w:pPr>
        <w:adjustRightInd w:val="0"/>
        <w:snapToGrid w:val="0"/>
        <w:jc w:val="center"/>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招生简章</w:t>
      </w:r>
    </w:p>
    <w:p w14:paraId="11597DD0">
      <w:pPr>
        <w:adjustRightInd w:val="0"/>
        <w:snapToGrid w:val="0"/>
        <w:jc w:val="both"/>
        <w:rPr>
          <w:rFonts w:hint="eastAsia" w:asciiTheme="minorEastAsia" w:hAnsiTheme="minorEastAsia" w:eastAsiaTheme="minorEastAsia" w:cstheme="minorEastAsia"/>
          <w:b/>
          <w:bCs/>
          <w:sz w:val="36"/>
          <w:szCs w:val="36"/>
        </w:rPr>
      </w:pPr>
    </w:p>
    <w:p w14:paraId="4AB6AD44">
      <w:pPr>
        <w:numPr>
          <w:ilvl w:val="0"/>
          <w:numId w:val="1"/>
        </w:numPr>
        <w:adjustRightInd w:val="0"/>
        <w:snapToGrid w:val="0"/>
        <w:jc w:val="both"/>
        <w:rPr>
          <w:rFonts w:hint="eastAsia" w:asciiTheme="minorEastAsia" w:hAnsiTheme="minorEastAsia" w:cstheme="minorEastAsia"/>
          <w:b/>
          <w:bCs/>
          <w:sz w:val="24"/>
          <w:szCs w:val="24"/>
          <w:lang w:val="en-US" w:eastAsia="zh-CN"/>
        </w:rPr>
      </w:pPr>
      <w:r>
        <w:rPr>
          <w:rFonts w:hint="eastAsia" w:asciiTheme="minorEastAsia" w:hAnsiTheme="minorEastAsia" w:cstheme="minorEastAsia"/>
          <w:b/>
          <w:bCs/>
          <w:sz w:val="24"/>
          <w:szCs w:val="24"/>
          <w:lang w:val="en-US" w:eastAsia="zh-CN"/>
        </w:rPr>
        <w:t>院校介绍：</w:t>
      </w:r>
    </w:p>
    <w:p w14:paraId="476FD8C5">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szCs w:val="21"/>
        </w:rPr>
      </w:pPr>
      <w:r>
        <w:rPr>
          <w:rFonts w:hint="eastAsia" w:ascii="宋体" w:hAnsi="宋体" w:cs="宋体"/>
          <w:szCs w:val="21"/>
        </w:rPr>
        <w:t>长江大学是湖北省属高校中规模最大、学科门类较全的综合性大学，是国家“教育强国推进工程”入选高校，湖北省重点建设的四所高水平大学之一，湖北省“国内一流大学建设高校”，也是湖北省人民政府与中国石油天然气集团有限公司、中国石油化工集团有限公司、中国海洋石油集团有限公司共建和湖北省人民政府与国家农业农村部共建的高校。</w:t>
      </w:r>
    </w:p>
    <w:p w14:paraId="09DCA461">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szCs w:val="21"/>
        </w:rPr>
      </w:pPr>
      <w:r>
        <w:rPr>
          <w:rFonts w:hint="eastAsia" w:ascii="宋体" w:hAnsi="宋体" w:cs="宋体"/>
          <w:szCs w:val="21"/>
        </w:rPr>
        <w:t>长江大学</w:t>
      </w:r>
      <w:r>
        <w:rPr>
          <w:rFonts w:hint="eastAsia" w:ascii="宋体" w:hAnsi="宋体" w:cs="宋体"/>
          <w:szCs w:val="21"/>
          <w:lang w:val="en-US"/>
        </w:rPr>
        <w:t>1986</w:t>
      </w:r>
      <w:r>
        <w:rPr>
          <w:rFonts w:hint="eastAsia" w:ascii="宋体" w:hAnsi="宋体" w:cs="宋体"/>
          <w:szCs w:val="21"/>
        </w:rPr>
        <w:t>年获得硕士学位授予权，</w:t>
      </w:r>
      <w:r>
        <w:rPr>
          <w:rFonts w:hint="eastAsia" w:ascii="宋体" w:hAnsi="宋体" w:cs="宋体"/>
          <w:szCs w:val="21"/>
          <w:lang w:val="en-US"/>
        </w:rPr>
        <w:t>2006</w:t>
      </w:r>
      <w:r>
        <w:rPr>
          <w:rFonts w:hint="eastAsia" w:ascii="宋体" w:hAnsi="宋体" w:cs="宋体"/>
          <w:szCs w:val="21"/>
        </w:rPr>
        <w:t>年获得博士学位授予权，</w:t>
      </w:r>
      <w:r>
        <w:rPr>
          <w:rFonts w:hint="eastAsia" w:ascii="宋体" w:hAnsi="宋体" w:cs="宋体"/>
          <w:szCs w:val="21"/>
          <w:lang w:val="en-US"/>
        </w:rPr>
        <w:t>2009</w:t>
      </w:r>
      <w:r>
        <w:rPr>
          <w:rFonts w:hint="eastAsia" w:ascii="宋体" w:hAnsi="宋体" w:cs="宋体"/>
          <w:szCs w:val="21"/>
        </w:rPr>
        <w:t>年获批博士后科研流动站。现有“地质资源与地质工程”“石油与天然气工程”“作物学”</w:t>
      </w:r>
      <w:r>
        <w:rPr>
          <w:rFonts w:hint="eastAsia" w:ascii="宋体" w:hAnsi="宋体" w:cs="宋体"/>
          <w:szCs w:val="21"/>
          <w:lang w:val="en-US"/>
        </w:rPr>
        <w:t>3</w:t>
      </w:r>
      <w:r>
        <w:rPr>
          <w:rFonts w:hint="eastAsia" w:ascii="宋体" w:hAnsi="宋体" w:cs="宋体"/>
          <w:szCs w:val="21"/>
        </w:rPr>
        <w:t>个一级学科博士学位授权点和</w:t>
      </w:r>
      <w:r>
        <w:rPr>
          <w:rFonts w:hint="eastAsia" w:ascii="宋体" w:hAnsi="宋体" w:cs="宋体"/>
          <w:szCs w:val="21"/>
          <w:lang w:val="en-US"/>
        </w:rPr>
        <w:t>3</w:t>
      </w:r>
      <w:r>
        <w:rPr>
          <w:rFonts w:hint="eastAsia" w:ascii="宋体" w:hAnsi="宋体" w:cs="宋体"/>
          <w:szCs w:val="21"/>
        </w:rPr>
        <w:t>个相应博士后科研流动站；</w:t>
      </w:r>
      <w:r>
        <w:rPr>
          <w:rFonts w:hint="eastAsia" w:ascii="宋体" w:hAnsi="宋体" w:cs="宋体"/>
          <w:szCs w:val="21"/>
          <w:lang w:val="en-US"/>
        </w:rPr>
        <w:t>37</w:t>
      </w:r>
      <w:r>
        <w:rPr>
          <w:rFonts w:hint="eastAsia" w:ascii="宋体" w:hAnsi="宋体" w:cs="宋体"/>
          <w:szCs w:val="21"/>
        </w:rPr>
        <w:t>个一级学科硕士学位授权点，</w:t>
      </w:r>
      <w:r>
        <w:rPr>
          <w:rFonts w:hint="eastAsia" w:ascii="宋体" w:hAnsi="宋体" w:cs="宋体"/>
          <w:szCs w:val="21"/>
          <w:lang w:val="en-US"/>
        </w:rPr>
        <w:t>22</w:t>
      </w:r>
      <w:r>
        <w:rPr>
          <w:rFonts w:hint="eastAsia" w:ascii="宋体" w:hAnsi="宋体" w:cs="宋体"/>
          <w:szCs w:val="21"/>
        </w:rPr>
        <w:t>个专业硕士学位授权类别；具有同等学力人员申请硕士学位授予权。工程学、植物学与动物学、农业科学、地球科学、临床医学、化学</w:t>
      </w:r>
      <w:r>
        <w:rPr>
          <w:rFonts w:hint="eastAsia" w:ascii="宋体" w:hAnsi="宋体" w:cs="宋体"/>
          <w:szCs w:val="21"/>
          <w:lang w:val="en-US"/>
        </w:rPr>
        <w:t>6</w:t>
      </w:r>
      <w:r>
        <w:rPr>
          <w:rFonts w:hint="eastAsia" w:ascii="宋体" w:hAnsi="宋体" w:cs="宋体"/>
          <w:szCs w:val="21"/>
        </w:rPr>
        <w:t>个学科进入</w:t>
      </w:r>
      <w:r>
        <w:rPr>
          <w:rFonts w:hint="eastAsia" w:ascii="宋体" w:hAnsi="宋体" w:cs="宋体"/>
          <w:szCs w:val="21"/>
          <w:lang w:val="en-US"/>
        </w:rPr>
        <w:t>ESI</w:t>
      </w:r>
      <w:r>
        <w:rPr>
          <w:rFonts w:hint="eastAsia" w:ascii="宋体" w:hAnsi="宋体" w:cs="宋体"/>
          <w:szCs w:val="21"/>
        </w:rPr>
        <w:t>全球排名</w:t>
      </w:r>
      <w:r>
        <w:rPr>
          <w:rFonts w:hint="eastAsia" w:ascii="宋体" w:hAnsi="宋体" w:cs="宋体"/>
          <w:szCs w:val="21"/>
          <w:lang w:val="en-US"/>
        </w:rPr>
        <w:t>1%</w:t>
      </w:r>
      <w:r>
        <w:rPr>
          <w:rFonts w:hint="eastAsia" w:ascii="宋体" w:hAnsi="宋体" w:cs="宋体"/>
          <w:szCs w:val="21"/>
        </w:rPr>
        <w:t>。</w:t>
      </w:r>
    </w:p>
    <w:p w14:paraId="5311E391">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szCs w:val="21"/>
        </w:rPr>
      </w:pPr>
      <w:r>
        <w:rPr>
          <w:rFonts w:hint="eastAsia" w:ascii="宋体" w:hAnsi="宋体" w:cs="宋体"/>
          <w:szCs w:val="21"/>
        </w:rPr>
        <w:t>长江大学医学部拥有临床医学和基础医学</w:t>
      </w:r>
      <w:r>
        <w:rPr>
          <w:rFonts w:hint="eastAsia" w:ascii="宋体" w:hAnsi="宋体" w:cs="宋体"/>
          <w:szCs w:val="21"/>
          <w:lang w:val="en-US"/>
        </w:rPr>
        <w:t>2</w:t>
      </w:r>
      <w:r>
        <w:rPr>
          <w:rFonts w:hint="eastAsia" w:ascii="宋体" w:hAnsi="宋体" w:cs="宋体"/>
          <w:szCs w:val="21"/>
        </w:rPr>
        <w:t>个一级学科硕士学位授权点，临床医学和护理</w:t>
      </w:r>
      <w:r>
        <w:rPr>
          <w:rFonts w:hint="eastAsia" w:ascii="宋体" w:hAnsi="宋体" w:cs="宋体"/>
          <w:szCs w:val="21"/>
          <w:lang w:val="en-US"/>
        </w:rPr>
        <w:t>2</w:t>
      </w:r>
      <w:r>
        <w:rPr>
          <w:rFonts w:hint="eastAsia" w:ascii="宋体" w:hAnsi="宋体" w:cs="宋体"/>
          <w:szCs w:val="21"/>
        </w:rPr>
        <w:t>个硕士专业学位授权点</w:t>
      </w:r>
      <w:r>
        <w:rPr>
          <w:rFonts w:hint="eastAsia" w:ascii="宋体" w:hAnsi="宋体" w:cs="宋体"/>
          <w:szCs w:val="21"/>
          <w:lang w:eastAsia="zh-CN"/>
        </w:rPr>
        <w:t>。</w:t>
      </w:r>
      <w:r>
        <w:rPr>
          <w:rFonts w:hint="eastAsia" w:ascii="宋体" w:hAnsi="宋体" w:cs="宋体"/>
          <w:szCs w:val="21"/>
        </w:rPr>
        <w:t>医学部现有一支以高层次学者、长大学者、拔尖人才等为领军人物，以教授、副教授为中坚力量，以朝气蓬勃、具有开拓创新精神的博士、硕士等中青年教师为骨干的教职工队伍。校本部在编专任教师</w:t>
      </w:r>
      <w:r>
        <w:rPr>
          <w:rFonts w:hint="eastAsia" w:ascii="宋体" w:hAnsi="宋体" w:cs="宋体"/>
          <w:szCs w:val="21"/>
          <w:lang w:val="en-US"/>
        </w:rPr>
        <w:t>136</w:t>
      </w:r>
      <w:r>
        <w:rPr>
          <w:rFonts w:hint="eastAsia" w:ascii="宋体" w:hAnsi="宋体" w:cs="宋体"/>
          <w:szCs w:val="21"/>
        </w:rPr>
        <w:t>人，附属医院及教学医院具有教学职称的教师</w:t>
      </w:r>
      <w:r>
        <w:rPr>
          <w:rFonts w:hint="eastAsia" w:ascii="宋体" w:hAnsi="宋体" w:cs="宋体"/>
          <w:szCs w:val="21"/>
          <w:lang w:val="en-US"/>
        </w:rPr>
        <w:t>225</w:t>
      </w:r>
      <w:r>
        <w:rPr>
          <w:rFonts w:hint="eastAsia" w:ascii="宋体" w:hAnsi="宋体" w:cs="宋体"/>
          <w:szCs w:val="21"/>
        </w:rPr>
        <w:t>人。有省级人才专家</w:t>
      </w:r>
      <w:r>
        <w:rPr>
          <w:rFonts w:hint="eastAsia" w:ascii="宋体" w:hAnsi="宋体" w:cs="宋体"/>
          <w:szCs w:val="21"/>
          <w:lang w:val="en-US"/>
        </w:rPr>
        <w:t>5</w:t>
      </w:r>
      <w:r>
        <w:rPr>
          <w:rFonts w:hint="eastAsia" w:ascii="宋体" w:hAnsi="宋体" w:cs="宋体"/>
          <w:szCs w:val="21"/>
        </w:rPr>
        <w:t>人、高层次学者讲座教授</w:t>
      </w:r>
      <w:r>
        <w:rPr>
          <w:rFonts w:hint="eastAsia" w:ascii="宋体" w:hAnsi="宋体" w:cs="宋体"/>
          <w:szCs w:val="21"/>
          <w:lang w:val="en-US"/>
        </w:rPr>
        <w:t>4</w:t>
      </w:r>
      <w:r>
        <w:rPr>
          <w:rFonts w:hint="eastAsia" w:ascii="宋体" w:hAnsi="宋体" w:cs="宋体"/>
          <w:szCs w:val="21"/>
        </w:rPr>
        <w:t>人、长大特聘教授</w:t>
      </w:r>
      <w:r>
        <w:rPr>
          <w:rFonts w:hint="eastAsia" w:ascii="宋体" w:hAnsi="宋体" w:cs="宋体"/>
          <w:szCs w:val="21"/>
          <w:lang w:val="en-US"/>
        </w:rPr>
        <w:t>2</w:t>
      </w:r>
      <w:r>
        <w:rPr>
          <w:rFonts w:hint="eastAsia" w:ascii="宋体" w:hAnsi="宋体" w:cs="宋体"/>
          <w:szCs w:val="21"/>
        </w:rPr>
        <w:t>人、省级拔尖人才</w:t>
      </w:r>
      <w:r>
        <w:rPr>
          <w:rFonts w:hint="eastAsia" w:ascii="宋体" w:hAnsi="宋体" w:cs="宋体"/>
          <w:szCs w:val="21"/>
          <w:lang w:val="en-US"/>
        </w:rPr>
        <w:t>5</w:t>
      </w:r>
      <w:r>
        <w:rPr>
          <w:rFonts w:hint="eastAsia" w:ascii="宋体" w:hAnsi="宋体" w:cs="宋体"/>
          <w:szCs w:val="21"/>
        </w:rPr>
        <w:t>人；硕士生导师</w:t>
      </w:r>
      <w:r>
        <w:rPr>
          <w:rFonts w:hint="eastAsia" w:ascii="宋体" w:hAnsi="宋体" w:cs="宋体"/>
          <w:szCs w:val="21"/>
          <w:lang w:val="en-US"/>
        </w:rPr>
        <w:t>332</w:t>
      </w:r>
      <w:r>
        <w:rPr>
          <w:rFonts w:hint="eastAsia" w:ascii="宋体" w:hAnsi="宋体" w:cs="宋体"/>
          <w:szCs w:val="21"/>
        </w:rPr>
        <w:t>人、博士生导师</w:t>
      </w:r>
      <w:r>
        <w:rPr>
          <w:rFonts w:hint="eastAsia" w:ascii="宋体" w:hAnsi="宋体" w:cs="宋体"/>
          <w:szCs w:val="21"/>
          <w:lang w:val="en-US"/>
        </w:rPr>
        <w:t>4</w:t>
      </w:r>
      <w:r>
        <w:rPr>
          <w:rFonts w:hint="eastAsia" w:ascii="宋体" w:hAnsi="宋体" w:cs="宋体"/>
          <w:szCs w:val="21"/>
        </w:rPr>
        <w:t>人。</w:t>
      </w:r>
    </w:p>
    <w:p w14:paraId="36E9B7D0">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360" w:lineRule="auto"/>
        <w:ind w:left="0" w:right="0" w:firstLine="420" w:firstLineChars="200"/>
        <w:jc w:val="left"/>
        <w:textAlignment w:val="auto"/>
        <w:rPr>
          <w:rFonts w:ascii="message-box" w:hAnsi="message-box" w:eastAsia="message-box" w:cs="message-box"/>
        </w:rPr>
      </w:pPr>
      <w:r>
        <w:rPr>
          <w:rFonts w:hint="eastAsia" w:ascii="宋体" w:hAnsi="宋体" w:cs="宋体"/>
          <w:szCs w:val="21"/>
          <w:lang w:val="en-US" w:eastAsia="zh-CN"/>
        </w:rPr>
        <w:t>医学部重视科研工作，学术氛围浓郁，研究平台先进，拥有“湖北省肿瘤个体化诊疗临床医学研究中心”（附属第一医院）、“湖北省病原真菌感染诊疗临床医学研究中心”（附属中心医院）、“湖北分子诊断技术研发平台”等省级研发平台。近</w:t>
      </w:r>
      <w:r>
        <w:rPr>
          <w:rFonts w:hint="default" w:ascii="宋体" w:hAnsi="宋体" w:cs="宋体"/>
          <w:szCs w:val="21"/>
          <w:lang w:val="en-US" w:eastAsia="zh-CN"/>
        </w:rPr>
        <w:t>年来承担国家自然科学基金等国家级项目46项，省（部）级科研项目232项，科研到帐经费3621万元，发表高水平研究论文542篇，出版专著、著作30余部，获湖北省自然科学二奖奖1项，湖北省科技进步三等奖5项，发明专利授权15项，实用专利授权42项，计算机软件著作权16项。</w:t>
      </w:r>
    </w:p>
    <w:p w14:paraId="74D2424C">
      <w:pPr>
        <w:widowControl w:val="0"/>
        <w:numPr>
          <w:ilvl w:val="0"/>
          <w:numId w:val="0"/>
        </w:numPr>
        <w:adjustRightInd w:val="0"/>
        <w:snapToGrid w:val="0"/>
        <w:jc w:val="both"/>
        <w:rPr>
          <w:rFonts w:hint="eastAsia" w:asciiTheme="minorEastAsia" w:hAnsiTheme="minorEastAsia" w:cstheme="minorEastAsia"/>
          <w:b/>
          <w:bCs/>
          <w:sz w:val="24"/>
          <w:szCs w:val="24"/>
          <w:lang w:val="en-US" w:eastAsia="zh-CN"/>
        </w:rPr>
      </w:pPr>
    </w:p>
    <w:p w14:paraId="301CB2DB">
      <w:pPr>
        <w:widowControl w:val="0"/>
        <w:numPr>
          <w:ilvl w:val="0"/>
          <w:numId w:val="0"/>
        </w:numPr>
        <w:adjustRightInd w:val="0"/>
        <w:snapToGrid w:val="0"/>
        <w:jc w:val="both"/>
        <w:rPr>
          <w:rFonts w:hint="eastAsia" w:asciiTheme="minorEastAsia" w:hAnsiTheme="minorEastAsia" w:cstheme="minorEastAsia"/>
          <w:b/>
          <w:bCs/>
          <w:sz w:val="24"/>
          <w:szCs w:val="24"/>
          <w:lang w:val="en-US" w:eastAsia="zh-CN"/>
        </w:rPr>
      </w:pPr>
    </w:p>
    <w:p w14:paraId="1E35F194">
      <w:pPr>
        <w:numPr>
          <w:ilvl w:val="0"/>
          <w:numId w:val="1"/>
        </w:numPr>
        <w:adjustRightInd w:val="0"/>
        <w:snapToGrid w:val="0"/>
        <w:jc w:val="both"/>
        <w:rPr>
          <w:rFonts w:hint="default" w:asciiTheme="minorEastAsia" w:hAnsiTheme="minorEastAsia" w:cstheme="minorEastAsia"/>
          <w:b/>
          <w:bCs/>
          <w:sz w:val="24"/>
          <w:szCs w:val="24"/>
          <w:lang w:val="en-US" w:eastAsia="zh-CN"/>
        </w:rPr>
      </w:pPr>
      <w:r>
        <w:rPr>
          <w:rFonts w:hint="eastAsia" w:asciiTheme="minorEastAsia" w:hAnsiTheme="minorEastAsia" w:cstheme="minorEastAsia"/>
          <w:b/>
          <w:bCs/>
          <w:sz w:val="24"/>
          <w:szCs w:val="24"/>
          <w:lang w:val="en-US" w:eastAsia="zh-CN"/>
        </w:rPr>
        <w:t>培养目标：</w:t>
      </w:r>
    </w:p>
    <w:p w14:paraId="34870D5A">
      <w:pPr>
        <w:spacing w:line="500" w:lineRule="exact"/>
        <w:ind w:firstLine="420" w:firstLineChars="200"/>
        <w:rPr>
          <w:rFonts w:hint="eastAsia" w:asciiTheme="minorEastAsia" w:hAnsiTheme="minorEastAsia" w:cstheme="minorEastAsia"/>
          <w:b/>
          <w:bCs/>
          <w:sz w:val="24"/>
          <w:szCs w:val="24"/>
          <w:lang w:val="en-US" w:eastAsia="zh-CN"/>
        </w:rPr>
      </w:pPr>
      <w:r>
        <w:rPr>
          <w:rFonts w:hint="eastAsia" w:ascii="宋体" w:hAnsi="宋体" w:cs="宋体"/>
          <w:szCs w:val="21"/>
          <w:lang w:val="en-US" w:eastAsia="zh-CN"/>
        </w:rPr>
        <w:t>本学科专业要求学员通过学习临床医学的基本理论和知识，掌握扎实的医学基本技能和基础学科各实验技术技巧，培养具有全面综合素质、具备自然科学和生命科学以及医学科学理论和实践技能的，适应现代医学卫生事业发展、生物医学技术发展和高等医学院校及医学研究科研机构等部门，拥有较强创新精神和实践能力的从事基础医学各学科的教学、科学研究及基础与临床相结合的医学实验研究工作的高端型专业人才。</w:t>
      </w:r>
    </w:p>
    <w:p w14:paraId="4BCC7722">
      <w:pPr>
        <w:widowControl w:val="0"/>
        <w:numPr>
          <w:ilvl w:val="0"/>
          <w:numId w:val="0"/>
        </w:numPr>
        <w:adjustRightInd w:val="0"/>
        <w:snapToGrid w:val="0"/>
        <w:jc w:val="both"/>
        <w:rPr>
          <w:rFonts w:hint="eastAsia" w:asciiTheme="minorEastAsia" w:hAnsiTheme="minorEastAsia" w:cstheme="minorEastAsia"/>
          <w:b/>
          <w:bCs/>
          <w:sz w:val="24"/>
          <w:szCs w:val="24"/>
          <w:lang w:val="en-US" w:eastAsia="zh-CN"/>
        </w:rPr>
      </w:pPr>
    </w:p>
    <w:p w14:paraId="6E86EF64">
      <w:pPr>
        <w:widowControl w:val="0"/>
        <w:numPr>
          <w:ilvl w:val="0"/>
          <w:numId w:val="0"/>
        </w:numPr>
        <w:adjustRightInd w:val="0"/>
        <w:snapToGrid w:val="0"/>
        <w:jc w:val="both"/>
        <w:rPr>
          <w:rFonts w:hint="default" w:asciiTheme="minorEastAsia" w:hAnsiTheme="minorEastAsia" w:cstheme="minorEastAsia"/>
          <w:b/>
          <w:bCs/>
          <w:sz w:val="24"/>
          <w:szCs w:val="24"/>
          <w:lang w:val="en-US" w:eastAsia="zh-CN"/>
        </w:rPr>
      </w:pPr>
    </w:p>
    <w:p w14:paraId="47367525">
      <w:pPr>
        <w:numPr>
          <w:ilvl w:val="0"/>
          <w:numId w:val="1"/>
        </w:numPr>
        <w:adjustRightInd w:val="0"/>
        <w:snapToGrid w:val="0"/>
        <w:jc w:val="both"/>
        <w:rPr>
          <w:rFonts w:hint="default" w:asciiTheme="minorEastAsia" w:hAnsiTheme="minorEastAsia" w:cstheme="minorEastAsia"/>
          <w:b/>
          <w:bCs/>
          <w:sz w:val="24"/>
          <w:szCs w:val="24"/>
          <w:lang w:val="en-US" w:eastAsia="zh-CN"/>
        </w:rPr>
      </w:pPr>
      <w:r>
        <w:rPr>
          <w:rFonts w:hint="eastAsia" w:asciiTheme="minorEastAsia" w:hAnsiTheme="minorEastAsia" w:cstheme="minorEastAsia"/>
          <w:b/>
          <w:bCs/>
          <w:sz w:val="24"/>
          <w:szCs w:val="24"/>
          <w:lang w:val="en-US" w:eastAsia="zh-CN"/>
        </w:rPr>
        <w:t>学科专业：</w:t>
      </w:r>
    </w:p>
    <w:p w14:paraId="25D4CB4B">
      <w:pPr>
        <w:widowControl w:val="0"/>
        <w:numPr>
          <w:ilvl w:val="0"/>
          <w:numId w:val="0"/>
        </w:numPr>
        <w:adjustRightInd w:val="0"/>
        <w:snapToGrid w:val="0"/>
        <w:jc w:val="both"/>
        <w:rPr>
          <w:rFonts w:hint="eastAsia" w:asciiTheme="minorEastAsia" w:hAnsiTheme="minorEastAsia" w:cstheme="minorEastAsia"/>
          <w:b/>
          <w:bCs/>
          <w:sz w:val="24"/>
          <w:szCs w:val="24"/>
          <w:lang w:val="en-US" w:eastAsia="zh-CN"/>
        </w:rPr>
      </w:pPr>
    </w:p>
    <w:tbl>
      <w:tblPr>
        <w:tblStyle w:val="5"/>
        <w:tblW w:w="8220" w:type="dxa"/>
        <w:tblInd w:w="0" w:type="dxa"/>
        <w:tblLayout w:type="autofit"/>
        <w:tblCellMar>
          <w:top w:w="0" w:type="dxa"/>
          <w:left w:w="0" w:type="dxa"/>
          <w:bottom w:w="0" w:type="dxa"/>
          <w:right w:w="0" w:type="dxa"/>
        </w:tblCellMar>
      </w:tblPr>
      <w:tblGrid>
        <w:gridCol w:w="2839"/>
        <w:gridCol w:w="2493"/>
        <w:gridCol w:w="2888"/>
      </w:tblGrid>
      <w:tr w14:paraId="73B54B06">
        <w:tblPrEx>
          <w:tblCellMar>
            <w:top w:w="0" w:type="dxa"/>
            <w:left w:w="0" w:type="dxa"/>
            <w:bottom w:w="0" w:type="dxa"/>
            <w:right w:w="0" w:type="dxa"/>
          </w:tblCellMar>
        </w:tblPrEx>
        <w:trPr>
          <w:trHeight w:val="491" w:hRule="atLeast"/>
        </w:trPr>
        <w:tc>
          <w:tcPr>
            <w:tcW w:w="5332" w:type="dxa"/>
            <w:gridSpan w:val="2"/>
            <w:tcBorders>
              <w:top w:val="single" w:color="000000" w:sz="4" w:space="0"/>
              <w:left w:val="single" w:color="000000" w:sz="4" w:space="0"/>
              <w:bottom w:val="single" w:color="auto" w:sz="4" w:space="0"/>
              <w:right w:val="single" w:color="auto" w:sz="4" w:space="0"/>
            </w:tcBorders>
            <w:tcMar>
              <w:top w:w="15" w:type="dxa"/>
              <w:left w:w="15" w:type="dxa"/>
              <w:right w:w="15" w:type="dxa"/>
            </w:tcMar>
            <w:vAlign w:val="center"/>
          </w:tcPr>
          <w:p w14:paraId="00FC1FB6">
            <w:pPr>
              <w:spacing w:line="360" w:lineRule="auto"/>
              <w:contextualSpacing/>
              <w:jc w:val="center"/>
              <w:textAlignment w:val="center"/>
              <w:rPr>
                <w:rFonts w:hint="eastAsia" w:ascii="宋体" w:hAnsi="宋体" w:cs="宋体" w:eastAsiaTheme="minorEastAsia"/>
                <w:color w:val="000000"/>
                <w:sz w:val="24"/>
                <w:lang w:eastAsia="zh-CN"/>
              </w:rPr>
            </w:pPr>
            <w:r>
              <w:rPr>
                <w:rFonts w:hint="eastAsia" w:ascii="宋体" w:hAnsi="宋体" w:cs="宋体"/>
                <w:b/>
                <w:bCs/>
                <w:sz w:val="24"/>
              </w:rPr>
              <w:t>临床医学</w:t>
            </w:r>
            <w:r>
              <w:rPr>
                <w:rFonts w:hint="eastAsia" w:ascii="宋体" w:hAnsi="宋体" w:cs="宋体"/>
                <w:b/>
                <w:bCs/>
                <w:sz w:val="24"/>
                <w:lang w:eastAsia="zh-CN"/>
              </w:rPr>
              <w:t>（</w:t>
            </w:r>
            <w:r>
              <w:rPr>
                <w:rFonts w:hint="eastAsia" w:ascii="宋体" w:hAnsi="宋体" w:cs="宋体"/>
                <w:b/>
                <w:bCs/>
                <w:sz w:val="24"/>
                <w:lang w:val="en-US" w:eastAsia="zh-CN"/>
              </w:rPr>
              <w:t>研究方向</w:t>
            </w:r>
            <w:r>
              <w:rPr>
                <w:rFonts w:hint="eastAsia" w:ascii="宋体" w:hAnsi="宋体" w:cs="宋体"/>
                <w:b/>
                <w:bCs/>
                <w:sz w:val="24"/>
                <w:lang w:eastAsia="zh-CN"/>
              </w:rPr>
              <w:t>）</w:t>
            </w:r>
            <w:bookmarkStart w:id="0" w:name="_GoBack"/>
            <w:bookmarkEnd w:id="0"/>
          </w:p>
        </w:tc>
        <w:tc>
          <w:tcPr>
            <w:tcW w:w="2888" w:type="dxa"/>
            <w:tcBorders>
              <w:top w:val="single" w:color="000000" w:sz="4" w:space="0"/>
              <w:left w:val="single" w:color="auto" w:sz="4" w:space="0"/>
              <w:bottom w:val="single" w:color="auto" w:sz="4" w:space="0"/>
              <w:right w:val="single" w:color="000000" w:sz="4" w:space="0"/>
            </w:tcBorders>
            <w:tcMar>
              <w:top w:w="15" w:type="dxa"/>
              <w:left w:w="15" w:type="dxa"/>
              <w:right w:w="15" w:type="dxa"/>
            </w:tcMar>
            <w:vAlign w:val="center"/>
          </w:tcPr>
          <w:p w14:paraId="63594B94">
            <w:pPr>
              <w:spacing w:line="360" w:lineRule="auto"/>
              <w:contextualSpacing/>
              <w:jc w:val="center"/>
              <w:textAlignment w:val="center"/>
              <w:rPr>
                <w:rFonts w:ascii="宋体" w:hAnsi="宋体" w:cs="宋体"/>
                <w:color w:val="000000"/>
                <w:sz w:val="24"/>
              </w:rPr>
            </w:pPr>
            <w:r>
              <w:rPr>
                <w:rFonts w:hint="eastAsia" w:ascii="宋体" w:hAnsi="宋体" w:cs="宋体"/>
                <w:b/>
                <w:bCs/>
                <w:sz w:val="24"/>
              </w:rPr>
              <w:t>全国统考科目</w:t>
            </w:r>
          </w:p>
        </w:tc>
      </w:tr>
      <w:tr w14:paraId="20ACE9D8">
        <w:tblPrEx>
          <w:tblCellMar>
            <w:top w:w="0" w:type="dxa"/>
            <w:left w:w="0" w:type="dxa"/>
            <w:bottom w:w="0" w:type="dxa"/>
            <w:right w:w="0" w:type="dxa"/>
          </w:tblCellMar>
        </w:tblPrEx>
        <w:trPr>
          <w:trHeight w:val="538" w:hRule="atLeast"/>
        </w:trPr>
        <w:tc>
          <w:tcPr>
            <w:tcW w:w="283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D0C1DD1">
            <w:pPr>
              <w:widowControl/>
              <w:jc w:val="center"/>
              <w:textAlignment w:val="center"/>
              <w:rPr>
                <w:rFonts w:ascii="宋体" w:hAnsi="宋体" w:cs="宋体"/>
                <w:color w:val="auto"/>
                <w:sz w:val="22"/>
                <w:szCs w:val="22"/>
              </w:rPr>
            </w:pPr>
            <w:r>
              <w:rPr>
                <w:rFonts w:hint="eastAsia" w:ascii="宋体" w:hAnsi="宋体" w:cs="宋体"/>
                <w:color w:val="auto"/>
                <w:kern w:val="0"/>
                <w:sz w:val="22"/>
                <w:szCs w:val="22"/>
                <w:lang w:bidi="ar"/>
              </w:rPr>
              <w:t>内科学</w:t>
            </w:r>
          </w:p>
        </w:tc>
        <w:tc>
          <w:tcPr>
            <w:tcW w:w="249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4E09F7D">
            <w:pPr>
              <w:widowControl/>
              <w:jc w:val="center"/>
              <w:textAlignment w:val="center"/>
              <w:rPr>
                <w:rFonts w:ascii="宋体" w:hAnsi="宋体" w:cs="宋体"/>
                <w:color w:val="auto"/>
                <w:sz w:val="22"/>
                <w:szCs w:val="22"/>
              </w:rPr>
            </w:pPr>
            <w:r>
              <w:rPr>
                <w:rFonts w:hint="eastAsia" w:ascii="宋体" w:hAnsi="宋体" w:cs="宋体"/>
                <w:color w:val="auto"/>
                <w:kern w:val="0"/>
                <w:sz w:val="22"/>
                <w:szCs w:val="22"/>
                <w:lang w:bidi="ar"/>
              </w:rPr>
              <w:t>儿科学</w:t>
            </w:r>
          </w:p>
        </w:tc>
        <w:tc>
          <w:tcPr>
            <w:tcW w:w="2888" w:type="dxa"/>
            <w:vMerge w:val="restart"/>
            <w:tcBorders>
              <w:top w:val="single" w:color="auto" w:sz="4" w:space="0"/>
              <w:left w:val="single" w:color="auto" w:sz="4" w:space="0"/>
              <w:right w:val="single" w:color="auto" w:sz="4" w:space="0"/>
            </w:tcBorders>
            <w:tcMar>
              <w:top w:w="15" w:type="dxa"/>
              <w:left w:w="15" w:type="dxa"/>
              <w:right w:w="15" w:type="dxa"/>
            </w:tcMar>
            <w:vAlign w:val="center"/>
          </w:tcPr>
          <w:p w14:paraId="5853399A">
            <w:pPr>
              <w:spacing w:line="360" w:lineRule="auto"/>
              <w:contextualSpacing/>
              <w:jc w:val="center"/>
              <w:textAlignment w:val="center"/>
              <w:rPr>
                <w:rFonts w:ascii="宋体" w:hAnsi="宋体"/>
                <w:color w:val="000000"/>
                <w:kern w:val="0"/>
                <w:szCs w:val="21"/>
              </w:rPr>
            </w:pPr>
            <w:r>
              <w:rPr>
                <w:rFonts w:hint="eastAsia" w:ascii="宋体" w:hAnsi="宋体"/>
                <w:color w:val="000000"/>
                <w:kern w:val="0"/>
                <w:szCs w:val="21"/>
              </w:rPr>
              <w:t>英语</w:t>
            </w:r>
          </w:p>
          <w:p w14:paraId="0BD5B5D2">
            <w:pPr>
              <w:spacing w:line="360" w:lineRule="auto"/>
              <w:contextualSpacing/>
              <w:jc w:val="center"/>
              <w:textAlignment w:val="center"/>
              <w:rPr>
                <w:rFonts w:hint="default" w:ascii="宋体" w:hAnsi="宋体" w:eastAsiaTheme="minorEastAsia"/>
                <w:color w:val="000000"/>
                <w:kern w:val="0"/>
                <w:szCs w:val="21"/>
                <w:lang w:val="en-US" w:eastAsia="zh-CN"/>
              </w:rPr>
            </w:pPr>
            <w:r>
              <w:rPr>
                <w:rFonts w:hint="eastAsia" w:ascii="宋体" w:hAnsi="宋体"/>
                <w:color w:val="000000"/>
                <w:kern w:val="0"/>
                <w:szCs w:val="21"/>
                <w:lang w:val="en-US" w:eastAsia="zh-CN"/>
              </w:rPr>
              <w:t>专业综合</w:t>
            </w:r>
          </w:p>
        </w:tc>
      </w:tr>
      <w:tr w14:paraId="38C3A753">
        <w:tblPrEx>
          <w:tblCellMar>
            <w:top w:w="0" w:type="dxa"/>
            <w:left w:w="0" w:type="dxa"/>
            <w:bottom w:w="0" w:type="dxa"/>
            <w:right w:w="0" w:type="dxa"/>
          </w:tblCellMar>
        </w:tblPrEx>
        <w:trPr>
          <w:trHeight w:val="528" w:hRule="atLeast"/>
        </w:trPr>
        <w:tc>
          <w:tcPr>
            <w:tcW w:w="283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493D1EC">
            <w:pPr>
              <w:widowControl/>
              <w:jc w:val="center"/>
              <w:textAlignment w:val="center"/>
              <w:rPr>
                <w:rFonts w:ascii="宋体" w:hAnsi="宋体" w:cs="宋体"/>
                <w:color w:val="auto"/>
                <w:sz w:val="22"/>
                <w:szCs w:val="22"/>
              </w:rPr>
            </w:pPr>
            <w:r>
              <w:rPr>
                <w:rFonts w:hint="eastAsia" w:ascii="宋体" w:hAnsi="宋体" w:cs="宋体"/>
                <w:color w:val="auto"/>
                <w:kern w:val="0"/>
                <w:sz w:val="22"/>
                <w:szCs w:val="22"/>
                <w:lang w:bidi="ar"/>
              </w:rPr>
              <w:t>神经病学</w:t>
            </w:r>
          </w:p>
        </w:tc>
        <w:tc>
          <w:tcPr>
            <w:tcW w:w="249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5E90507">
            <w:pPr>
              <w:widowControl/>
              <w:jc w:val="center"/>
              <w:textAlignment w:val="center"/>
              <w:rPr>
                <w:rFonts w:ascii="宋体" w:hAnsi="宋体" w:cs="宋体"/>
                <w:color w:val="auto"/>
                <w:sz w:val="22"/>
                <w:szCs w:val="22"/>
              </w:rPr>
            </w:pPr>
            <w:r>
              <w:rPr>
                <w:rFonts w:hint="eastAsia" w:ascii="宋体" w:hAnsi="宋体" w:cs="宋体"/>
                <w:color w:val="auto"/>
                <w:kern w:val="0"/>
                <w:sz w:val="22"/>
                <w:szCs w:val="22"/>
                <w:lang w:bidi="ar"/>
              </w:rPr>
              <w:t>麻醉学</w:t>
            </w:r>
          </w:p>
        </w:tc>
        <w:tc>
          <w:tcPr>
            <w:tcW w:w="2888" w:type="dxa"/>
            <w:vMerge w:val="continue"/>
            <w:tcBorders>
              <w:left w:val="single" w:color="auto" w:sz="4" w:space="0"/>
              <w:right w:val="single" w:color="auto" w:sz="4" w:space="0"/>
            </w:tcBorders>
            <w:tcMar>
              <w:top w:w="15" w:type="dxa"/>
              <w:left w:w="15" w:type="dxa"/>
              <w:right w:w="15" w:type="dxa"/>
            </w:tcMar>
            <w:vAlign w:val="center"/>
          </w:tcPr>
          <w:p w14:paraId="6772C385">
            <w:pPr>
              <w:spacing w:line="360" w:lineRule="auto"/>
              <w:contextualSpacing/>
              <w:jc w:val="center"/>
              <w:textAlignment w:val="center"/>
              <w:rPr>
                <w:rFonts w:ascii="宋体" w:hAnsi="宋体"/>
                <w:color w:val="000000"/>
                <w:kern w:val="0"/>
                <w:szCs w:val="21"/>
              </w:rPr>
            </w:pPr>
          </w:p>
        </w:tc>
      </w:tr>
      <w:tr w14:paraId="388E0993">
        <w:tblPrEx>
          <w:tblCellMar>
            <w:top w:w="0" w:type="dxa"/>
            <w:left w:w="0" w:type="dxa"/>
            <w:bottom w:w="0" w:type="dxa"/>
            <w:right w:w="0" w:type="dxa"/>
          </w:tblCellMar>
        </w:tblPrEx>
        <w:trPr>
          <w:trHeight w:val="528" w:hRule="atLeast"/>
        </w:trPr>
        <w:tc>
          <w:tcPr>
            <w:tcW w:w="283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4F6E51B">
            <w:pPr>
              <w:widowControl/>
              <w:jc w:val="center"/>
              <w:textAlignment w:val="center"/>
              <w:rPr>
                <w:rFonts w:ascii="宋体" w:hAnsi="宋体" w:cs="宋体"/>
                <w:color w:val="auto"/>
                <w:sz w:val="22"/>
                <w:szCs w:val="22"/>
              </w:rPr>
            </w:pPr>
            <w:r>
              <w:rPr>
                <w:rFonts w:hint="eastAsia" w:ascii="宋体" w:hAnsi="宋体" w:cs="宋体"/>
                <w:color w:val="auto"/>
                <w:kern w:val="0"/>
                <w:sz w:val="22"/>
                <w:szCs w:val="22"/>
                <w:lang w:bidi="ar"/>
              </w:rPr>
              <w:t>精神病与精神卫生学</w:t>
            </w:r>
          </w:p>
        </w:tc>
        <w:tc>
          <w:tcPr>
            <w:tcW w:w="249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EC0215D">
            <w:pPr>
              <w:widowControl/>
              <w:jc w:val="center"/>
              <w:textAlignment w:val="center"/>
              <w:rPr>
                <w:rFonts w:ascii="宋体" w:hAnsi="宋体" w:cs="宋体"/>
                <w:color w:val="auto"/>
                <w:sz w:val="22"/>
                <w:szCs w:val="22"/>
              </w:rPr>
            </w:pPr>
            <w:r>
              <w:rPr>
                <w:rFonts w:hint="eastAsia" w:ascii="宋体" w:hAnsi="宋体" w:cs="宋体"/>
                <w:color w:val="auto"/>
                <w:kern w:val="0"/>
                <w:sz w:val="22"/>
                <w:szCs w:val="22"/>
                <w:lang w:bidi="ar"/>
              </w:rPr>
              <w:t>皮肤病与性病学</w:t>
            </w:r>
          </w:p>
        </w:tc>
        <w:tc>
          <w:tcPr>
            <w:tcW w:w="2888" w:type="dxa"/>
            <w:vMerge w:val="continue"/>
            <w:tcBorders>
              <w:left w:val="single" w:color="auto" w:sz="4" w:space="0"/>
              <w:right w:val="single" w:color="auto" w:sz="4" w:space="0"/>
            </w:tcBorders>
            <w:tcMar>
              <w:top w:w="15" w:type="dxa"/>
              <w:left w:w="15" w:type="dxa"/>
              <w:right w:w="15" w:type="dxa"/>
            </w:tcMar>
            <w:vAlign w:val="center"/>
          </w:tcPr>
          <w:p w14:paraId="3BCCBD7C">
            <w:pPr>
              <w:spacing w:line="360" w:lineRule="auto"/>
              <w:contextualSpacing/>
              <w:jc w:val="center"/>
              <w:textAlignment w:val="center"/>
              <w:rPr>
                <w:rFonts w:ascii="宋体" w:hAnsi="宋体"/>
                <w:color w:val="000000"/>
                <w:kern w:val="0"/>
                <w:szCs w:val="21"/>
              </w:rPr>
            </w:pPr>
          </w:p>
        </w:tc>
      </w:tr>
      <w:tr w14:paraId="3BD1748B">
        <w:tblPrEx>
          <w:tblCellMar>
            <w:top w:w="0" w:type="dxa"/>
            <w:left w:w="0" w:type="dxa"/>
            <w:bottom w:w="0" w:type="dxa"/>
            <w:right w:w="0" w:type="dxa"/>
          </w:tblCellMar>
        </w:tblPrEx>
        <w:trPr>
          <w:trHeight w:val="528" w:hRule="atLeast"/>
        </w:trPr>
        <w:tc>
          <w:tcPr>
            <w:tcW w:w="283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C1229D7">
            <w:pPr>
              <w:widowControl/>
              <w:jc w:val="center"/>
              <w:textAlignment w:val="center"/>
              <w:rPr>
                <w:rFonts w:hint="default" w:ascii="宋体" w:hAnsi="宋体" w:cs="宋体" w:eastAsiaTheme="minorEastAsia"/>
                <w:color w:val="auto"/>
                <w:sz w:val="22"/>
                <w:szCs w:val="22"/>
                <w:lang w:val="en-US" w:eastAsia="zh-CN"/>
              </w:rPr>
            </w:pPr>
            <w:r>
              <w:rPr>
                <w:rFonts w:hint="eastAsia" w:ascii="宋体" w:hAnsi="宋体" w:cs="宋体"/>
                <w:color w:val="auto"/>
                <w:sz w:val="22"/>
                <w:szCs w:val="22"/>
                <w:lang w:val="en-US" w:eastAsia="zh-CN"/>
              </w:rPr>
              <w:t>放射影像学</w:t>
            </w:r>
          </w:p>
        </w:tc>
        <w:tc>
          <w:tcPr>
            <w:tcW w:w="249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FDBE3FD">
            <w:pPr>
              <w:widowControl/>
              <w:jc w:val="center"/>
              <w:textAlignment w:val="center"/>
              <w:rPr>
                <w:rFonts w:ascii="宋体" w:hAnsi="宋体" w:cs="宋体"/>
                <w:color w:val="auto"/>
                <w:sz w:val="22"/>
                <w:szCs w:val="22"/>
              </w:rPr>
            </w:pPr>
            <w:r>
              <w:rPr>
                <w:rFonts w:hint="eastAsia" w:ascii="宋体" w:hAnsi="宋体" w:cs="宋体"/>
                <w:color w:val="auto"/>
                <w:kern w:val="0"/>
                <w:sz w:val="22"/>
                <w:szCs w:val="22"/>
                <w:lang w:bidi="ar"/>
              </w:rPr>
              <w:t>临床检验诊断学</w:t>
            </w:r>
          </w:p>
        </w:tc>
        <w:tc>
          <w:tcPr>
            <w:tcW w:w="2888" w:type="dxa"/>
            <w:vMerge w:val="continue"/>
            <w:tcBorders>
              <w:left w:val="single" w:color="auto" w:sz="4" w:space="0"/>
              <w:right w:val="single" w:color="auto" w:sz="4" w:space="0"/>
            </w:tcBorders>
            <w:tcMar>
              <w:top w:w="15" w:type="dxa"/>
              <w:left w:w="15" w:type="dxa"/>
              <w:right w:w="15" w:type="dxa"/>
            </w:tcMar>
            <w:vAlign w:val="center"/>
          </w:tcPr>
          <w:p w14:paraId="51C6344E">
            <w:pPr>
              <w:spacing w:line="360" w:lineRule="auto"/>
              <w:contextualSpacing/>
              <w:jc w:val="center"/>
              <w:textAlignment w:val="center"/>
              <w:rPr>
                <w:rFonts w:ascii="宋体" w:hAnsi="宋体"/>
                <w:color w:val="000000"/>
                <w:kern w:val="0"/>
                <w:szCs w:val="21"/>
              </w:rPr>
            </w:pPr>
          </w:p>
        </w:tc>
      </w:tr>
      <w:tr w14:paraId="01309E8C">
        <w:tblPrEx>
          <w:tblCellMar>
            <w:top w:w="0" w:type="dxa"/>
            <w:left w:w="0" w:type="dxa"/>
            <w:bottom w:w="0" w:type="dxa"/>
            <w:right w:w="0" w:type="dxa"/>
          </w:tblCellMar>
        </w:tblPrEx>
        <w:trPr>
          <w:trHeight w:val="528" w:hRule="atLeast"/>
        </w:trPr>
        <w:tc>
          <w:tcPr>
            <w:tcW w:w="283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D70DB06">
            <w:pPr>
              <w:widowControl/>
              <w:jc w:val="center"/>
              <w:textAlignment w:val="center"/>
              <w:rPr>
                <w:rFonts w:ascii="宋体" w:hAnsi="宋体" w:cs="宋体"/>
                <w:color w:val="auto"/>
                <w:sz w:val="22"/>
                <w:szCs w:val="22"/>
              </w:rPr>
            </w:pPr>
            <w:r>
              <w:rPr>
                <w:rFonts w:hint="eastAsia" w:ascii="宋体" w:hAnsi="宋体" w:cs="宋体"/>
                <w:color w:val="auto"/>
                <w:kern w:val="0"/>
                <w:sz w:val="22"/>
                <w:szCs w:val="22"/>
                <w:lang w:bidi="ar"/>
              </w:rPr>
              <w:t>外科学</w:t>
            </w:r>
          </w:p>
        </w:tc>
        <w:tc>
          <w:tcPr>
            <w:tcW w:w="249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D8F6FEA">
            <w:pPr>
              <w:widowControl/>
              <w:jc w:val="center"/>
              <w:textAlignment w:val="center"/>
              <w:rPr>
                <w:rFonts w:ascii="宋体" w:hAnsi="宋体" w:cs="宋体"/>
                <w:color w:val="auto"/>
                <w:sz w:val="22"/>
                <w:szCs w:val="22"/>
              </w:rPr>
            </w:pPr>
            <w:r>
              <w:rPr>
                <w:rFonts w:hint="eastAsia" w:ascii="宋体" w:hAnsi="宋体" w:cs="宋体"/>
                <w:color w:val="auto"/>
                <w:kern w:val="0"/>
                <w:sz w:val="22"/>
                <w:szCs w:val="22"/>
                <w:lang w:bidi="ar"/>
              </w:rPr>
              <w:t>妇产科学</w:t>
            </w:r>
          </w:p>
        </w:tc>
        <w:tc>
          <w:tcPr>
            <w:tcW w:w="2888" w:type="dxa"/>
            <w:vMerge w:val="continue"/>
            <w:tcBorders>
              <w:left w:val="single" w:color="auto" w:sz="4" w:space="0"/>
              <w:right w:val="single" w:color="auto" w:sz="4" w:space="0"/>
            </w:tcBorders>
            <w:tcMar>
              <w:top w:w="15" w:type="dxa"/>
              <w:left w:w="15" w:type="dxa"/>
              <w:right w:w="15" w:type="dxa"/>
            </w:tcMar>
            <w:vAlign w:val="center"/>
          </w:tcPr>
          <w:p w14:paraId="22C52BDE">
            <w:pPr>
              <w:spacing w:line="360" w:lineRule="auto"/>
              <w:contextualSpacing/>
              <w:jc w:val="center"/>
              <w:textAlignment w:val="center"/>
              <w:rPr>
                <w:rFonts w:ascii="宋体" w:hAnsi="宋体"/>
                <w:color w:val="000000"/>
                <w:kern w:val="0"/>
                <w:szCs w:val="21"/>
              </w:rPr>
            </w:pPr>
          </w:p>
        </w:tc>
      </w:tr>
      <w:tr w14:paraId="2BB8A591">
        <w:tblPrEx>
          <w:tblCellMar>
            <w:top w:w="0" w:type="dxa"/>
            <w:left w:w="0" w:type="dxa"/>
            <w:bottom w:w="0" w:type="dxa"/>
            <w:right w:w="0" w:type="dxa"/>
          </w:tblCellMar>
        </w:tblPrEx>
        <w:trPr>
          <w:trHeight w:val="528" w:hRule="atLeast"/>
        </w:trPr>
        <w:tc>
          <w:tcPr>
            <w:tcW w:w="283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13F0B7E">
            <w:pPr>
              <w:widowControl/>
              <w:jc w:val="center"/>
              <w:textAlignment w:val="center"/>
              <w:rPr>
                <w:rFonts w:ascii="宋体" w:hAnsi="宋体" w:cs="宋体"/>
                <w:color w:val="auto"/>
                <w:sz w:val="22"/>
                <w:szCs w:val="22"/>
              </w:rPr>
            </w:pPr>
            <w:r>
              <w:rPr>
                <w:rFonts w:hint="eastAsia" w:ascii="宋体" w:hAnsi="宋体" w:cs="宋体"/>
                <w:color w:val="auto"/>
                <w:kern w:val="0"/>
                <w:sz w:val="22"/>
                <w:szCs w:val="22"/>
                <w:lang w:bidi="ar"/>
              </w:rPr>
              <w:t>眼科学</w:t>
            </w:r>
          </w:p>
        </w:tc>
        <w:tc>
          <w:tcPr>
            <w:tcW w:w="249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AA8C82D">
            <w:pPr>
              <w:widowControl/>
              <w:jc w:val="center"/>
              <w:textAlignment w:val="center"/>
              <w:rPr>
                <w:rFonts w:ascii="宋体" w:hAnsi="宋体" w:cs="宋体"/>
                <w:color w:val="auto"/>
                <w:sz w:val="22"/>
                <w:szCs w:val="22"/>
              </w:rPr>
            </w:pPr>
            <w:r>
              <w:rPr>
                <w:rFonts w:hint="eastAsia" w:ascii="宋体" w:hAnsi="宋体" w:cs="宋体"/>
                <w:color w:val="auto"/>
                <w:kern w:val="0"/>
                <w:sz w:val="22"/>
                <w:szCs w:val="22"/>
                <w:lang w:bidi="ar"/>
              </w:rPr>
              <w:t>耳鼻咽喉科学</w:t>
            </w:r>
          </w:p>
        </w:tc>
        <w:tc>
          <w:tcPr>
            <w:tcW w:w="2888" w:type="dxa"/>
            <w:vMerge w:val="continue"/>
            <w:tcBorders>
              <w:left w:val="single" w:color="auto" w:sz="4" w:space="0"/>
              <w:right w:val="single" w:color="auto" w:sz="4" w:space="0"/>
            </w:tcBorders>
            <w:tcMar>
              <w:top w:w="15" w:type="dxa"/>
              <w:left w:w="15" w:type="dxa"/>
              <w:right w:w="15" w:type="dxa"/>
            </w:tcMar>
            <w:vAlign w:val="center"/>
          </w:tcPr>
          <w:p w14:paraId="28143EC4">
            <w:pPr>
              <w:spacing w:line="360" w:lineRule="auto"/>
              <w:contextualSpacing/>
              <w:jc w:val="center"/>
              <w:textAlignment w:val="center"/>
              <w:rPr>
                <w:rFonts w:ascii="宋体" w:hAnsi="宋体"/>
                <w:color w:val="000000"/>
                <w:kern w:val="0"/>
                <w:szCs w:val="21"/>
              </w:rPr>
            </w:pPr>
          </w:p>
        </w:tc>
      </w:tr>
      <w:tr w14:paraId="4847AA38">
        <w:tblPrEx>
          <w:tblCellMar>
            <w:top w:w="0" w:type="dxa"/>
            <w:left w:w="0" w:type="dxa"/>
            <w:bottom w:w="0" w:type="dxa"/>
            <w:right w:w="0" w:type="dxa"/>
          </w:tblCellMar>
        </w:tblPrEx>
        <w:trPr>
          <w:trHeight w:val="528" w:hRule="atLeast"/>
        </w:trPr>
        <w:tc>
          <w:tcPr>
            <w:tcW w:w="283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5B486A3">
            <w:pPr>
              <w:widowControl/>
              <w:jc w:val="center"/>
              <w:textAlignment w:val="center"/>
              <w:rPr>
                <w:rFonts w:ascii="宋体" w:hAnsi="宋体" w:cs="宋体"/>
                <w:color w:val="auto"/>
                <w:sz w:val="22"/>
                <w:szCs w:val="22"/>
              </w:rPr>
            </w:pPr>
            <w:r>
              <w:rPr>
                <w:rFonts w:hint="eastAsia" w:ascii="宋体" w:hAnsi="宋体" w:cs="宋体"/>
                <w:color w:val="auto"/>
                <w:kern w:val="0"/>
                <w:sz w:val="22"/>
                <w:szCs w:val="22"/>
                <w:lang w:bidi="ar"/>
              </w:rPr>
              <w:t>肿瘤学</w:t>
            </w:r>
          </w:p>
        </w:tc>
        <w:tc>
          <w:tcPr>
            <w:tcW w:w="249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99E08AF">
            <w:pPr>
              <w:widowControl/>
              <w:jc w:val="center"/>
              <w:textAlignment w:val="center"/>
              <w:rPr>
                <w:rFonts w:hint="default" w:ascii="宋体" w:hAnsi="宋体" w:cs="宋体" w:eastAsiaTheme="minorEastAsia"/>
                <w:color w:val="auto"/>
                <w:sz w:val="22"/>
                <w:szCs w:val="22"/>
                <w:lang w:val="en-US" w:eastAsia="zh-CN"/>
              </w:rPr>
            </w:pPr>
            <w:r>
              <w:rPr>
                <w:rFonts w:hint="eastAsia" w:ascii="宋体" w:hAnsi="宋体" w:cs="宋体"/>
                <w:color w:val="auto"/>
                <w:sz w:val="22"/>
                <w:szCs w:val="22"/>
                <w:lang w:val="en-US" w:eastAsia="zh-CN"/>
              </w:rPr>
              <w:t>超声医学</w:t>
            </w:r>
          </w:p>
        </w:tc>
        <w:tc>
          <w:tcPr>
            <w:tcW w:w="2888" w:type="dxa"/>
            <w:vMerge w:val="continue"/>
            <w:tcBorders>
              <w:left w:val="single" w:color="auto" w:sz="4" w:space="0"/>
              <w:right w:val="single" w:color="auto" w:sz="4" w:space="0"/>
            </w:tcBorders>
            <w:tcMar>
              <w:top w:w="15" w:type="dxa"/>
              <w:left w:w="15" w:type="dxa"/>
              <w:right w:w="15" w:type="dxa"/>
            </w:tcMar>
            <w:vAlign w:val="center"/>
          </w:tcPr>
          <w:p w14:paraId="1EC009E0">
            <w:pPr>
              <w:spacing w:line="360" w:lineRule="auto"/>
              <w:contextualSpacing/>
              <w:jc w:val="center"/>
              <w:textAlignment w:val="center"/>
              <w:rPr>
                <w:rFonts w:ascii="宋体" w:hAnsi="宋体"/>
                <w:color w:val="000000"/>
                <w:kern w:val="0"/>
                <w:szCs w:val="21"/>
              </w:rPr>
            </w:pPr>
          </w:p>
        </w:tc>
      </w:tr>
      <w:tr w14:paraId="4350DABE">
        <w:tblPrEx>
          <w:tblCellMar>
            <w:top w:w="0" w:type="dxa"/>
            <w:left w:w="0" w:type="dxa"/>
            <w:bottom w:w="0" w:type="dxa"/>
            <w:right w:w="0" w:type="dxa"/>
          </w:tblCellMar>
        </w:tblPrEx>
        <w:trPr>
          <w:trHeight w:val="528" w:hRule="atLeast"/>
        </w:trPr>
        <w:tc>
          <w:tcPr>
            <w:tcW w:w="283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6C7EFF8">
            <w:pPr>
              <w:widowControl/>
              <w:jc w:val="center"/>
              <w:textAlignment w:val="center"/>
              <w:rPr>
                <w:rFonts w:hint="default" w:ascii="宋体" w:hAnsi="宋体" w:cs="宋体" w:eastAsiaTheme="minorEastAsia"/>
                <w:color w:val="auto"/>
                <w:kern w:val="0"/>
                <w:sz w:val="22"/>
                <w:szCs w:val="22"/>
                <w:lang w:val="en-US" w:eastAsia="zh-CN" w:bidi="ar"/>
              </w:rPr>
            </w:pPr>
            <w:r>
              <w:rPr>
                <w:rFonts w:hint="eastAsia" w:ascii="宋体" w:hAnsi="宋体" w:cs="宋体"/>
                <w:color w:val="auto"/>
                <w:kern w:val="0"/>
                <w:sz w:val="22"/>
                <w:szCs w:val="22"/>
                <w:lang w:val="en-US" w:eastAsia="zh-CN" w:bidi="ar"/>
              </w:rPr>
              <w:t>核医学</w:t>
            </w:r>
          </w:p>
        </w:tc>
        <w:tc>
          <w:tcPr>
            <w:tcW w:w="249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6C44A61">
            <w:pPr>
              <w:widowControl/>
              <w:jc w:val="center"/>
              <w:textAlignment w:val="center"/>
              <w:rPr>
                <w:rFonts w:hint="eastAsia" w:ascii="宋体" w:hAnsi="宋体" w:cs="宋体"/>
                <w:color w:val="auto"/>
                <w:sz w:val="22"/>
                <w:szCs w:val="22"/>
                <w:lang w:val="en-US" w:eastAsia="zh-CN"/>
              </w:rPr>
            </w:pPr>
          </w:p>
        </w:tc>
        <w:tc>
          <w:tcPr>
            <w:tcW w:w="2888"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14:paraId="6A1703EF">
            <w:pPr>
              <w:spacing w:line="360" w:lineRule="auto"/>
              <w:contextualSpacing/>
              <w:jc w:val="center"/>
              <w:textAlignment w:val="center"/>
              <w:rPr>
                <w:rFonts w:ascii="宋体" w:hAnsi="宋体"/>
                <w:color w:val="000000"/>
                <w:kern w:val="0"/>
                <w:szCs w:val="21"/>
              </w:rPr>
            </w:pPr>
          </w:p>
        </w:tc>
      </w:tr>
    </w:tbl>
    <w:p w14:paraId="255C09A4">
      <w:pPr>
        <w:widowControl w:val="0"/>
        <w:numPr>
          <w:ilvl w:val="0"/>
          <w:numId w:val="0"/>
        </w:numPr>
        <w:adjustRightInd w:val="0"/>
        <w:snapToGrid w:val="0"/>
        <w:jc w:val="both"/>
        <w:rPr>
          <w:rFonts w:hint="eastAsia" w:asciiTheme="minorEastAsia" w:hAnsiTheme="minorEastAsia" w:cstheme="minorEastAsia"/>
          <w:b/>
          <w:bCs/>
          <w:sz w:val="24"/>
          <w:szCs w:val="24"/>
          <w:lang w:val="en-US" w:eastAsia="zh-CN"/>
        </w:rPr>
      </w:pPr>
    </w:p>
    <w:p w14:paraId="126C28A7">
      <w:pPr>
        <w:widowControl w:val="0"/>
        <w:numPr>
          <w:ilvl w:val="0"/>
          <w:numId w:val="0"/>
        </w:numPr>
        <w:adjustRightInd w:val="0"/>
        <w:snapToGrid w:val="0"/>
        <w:jc w:val="both"/>
        <w:rPr>
          <w:rFonts w:hint="eastAsia" w:asciiTheme="minorEastAsia" w:hAnsiTheme="minorEastAsia" w:cstheme="minorEastAsia"/>
          <w:b/>
          <w:bCs/>
          <w:sz w:val="24"/>
          <w:szCs w:val="24"/>
          <w:lang w:val="en-US" w:eastAsia="zh-CN"/>
        </w:rPr>
      </w:pPr>
    </w:p>
    <w:p w14:paraId="395FB0D4">
      <w:pPr>
        <w:numPr>
          <w:ilvl w:val="0"/>
          <w:numId w:val="1"/>
        </w:numPr>
        <w:adjustRightInd w:val="0"/>
        <w:snapToGrid w:val="0"/>
        <w:jc w:val="both"/>
        <w:rPr>
          <w:rFonts w:hint="eastAsia" w:asciiTheme="minorEastAsia" w:hAnsiTheme="minorEastAsia" w:cstheme="minorEastAsia"/>
          <w:b/>
          <w:bCs/>
          <w:sz w:val="24"/>
          <w:szCs w:val="24"/>
          <w:lang w:val="en-US" w:eastAsia="zh-CN"/>
        </w:rPr>
      </w:pPr>
      <w:r>
        <w:rPr>
          <w:rFonts w:hint="eastAsia" w:asciiTheme="minorEastAsia" w:hAnsiTheme="minorEastAsia" w:cstheme="minorEastAsia"/>
          <w:b/>
          <w:bCs/>
          <w:sz w:val="24"/>
          <w:szCs w:val="24"/>
          <w:lang w:val="en-US" w:eastAsia="zh-CN"/>
        </w:rPr>
        <w:t>报名条件：</w:t>
      </w:r>
    </w:p>
    <w:p w14:paraId="31F6D8E3">
      <w:pPr>
        <w:spacing w:line="500" w:lineRule="exact"/>
        <w:ind w:firstLine="420" w:firstLineChars="200"/>
        <w:rPr>
          <w:rFonts w:hint="default" w:ascii="宋体" w:hAnsi="宋体" w:cs="宋体"/>
          <w:szCs w:val="21"/>
          <w:lang w:val="en-US" w:eastAsia="zh-CN"/>
        </w:rPr>
      </w:pPr>
      <w:r>
        <w:rPr>
          <w:rFonts w:hint="eastAsia" w:ascii="宋体" w:hAnsi="宋体" w:cs="宋体"/>
          <w:szCs w:val="21"/>
          <w:lang w:val="en-US" w:eastAsia="zh-CN"/>
        </w:rPr>
        <w:t>1</w:t>
      </w:r>
      <w:r>
        <w:rPr>
          <w:rFonts w:hint="default" w:ascii="宋体" w:hAnsi="宋体" w:cs="宋体"/>
          <w:szCs w:val="21"/>
          <w:lang w:val="en-US" w:eastAsia="zh-CN"/>
        </w:rPr>
        <w:t>、临床医学类本科毕业生并获得学士学位</w:t>
      </w:r>
      <w:r>
        <w:rPr>
          <w:rFonts w:hint="eastAsia" w:ascii="宋体" w:hAnsi="宋体" w:cs="宋体"/>
          <w:szCs w:val="21"/>
          <w:lang w:val="en-US" w:eastAsia="zh-CN"/>
        </w:rPr>
        <w:t>。</w:t>
      </w:r>
    </w:p>
    <w:p w14:paraId="04999A41">
      <w:pPr>
        <w:spacing w:line="500" w:lineRule="exact"/>
        <w:ind w:firstLine="420" w:firstLineChars="200"/>
        <w:rPr>
          <w:rFonts w:hint="default" w:ascii="宋体" w:hAnsi="宋体" w:cs="宋体"/>
          <w:szCs w:val="21"/>
          <w:lang w:val="en-US" w:eastAsia="zh-CN"/>
        </w:rPr>
      </w:pPr>
      <w:r>
        <w:rPr>
          <w:rFonts w:hint="default" w:ascii="宋体" w:hAnsi="宋体" w:cs="宋体"/>
          <w:szCs w:val="21"/>
          <w:lang w:val="en-US" w:eastAsia="zh-CN"/>
        </w:rPr>
        <w:t>2、正在接受住院医师规范化培训的住院医师或已获得《住院医师规范化培训合格证书》的临床医师</w:t>
      </w:r>
      <w:r>
        <w:rPr>
          <w:rFonts w:hint="eastAsia" w:ascii="宋体" w:hAnsi="宋体" w:cs="宋体"/>
          <w:szCs w:val="21"/>
          <w:lang w:val="en-US" w:eastAsia="zh-CN"/>
        </w:rPr>
        <w:t>。</w:t>
      </w:r>
    </w:p>
    <w:p w14:paraId="77A9E3D5">
      <w:pPr>
        <w:spacing w:line="500" w:lineRule="exact"/>
        <w:ind w:firstLine="420" w:firstLineChars="200"/>
        <w:rPr>
          <w:rFonts w:hint="eastAsia" w:ascii="宋体" w:hAnsi="宋体" w:cs="宋体"/>
          <w:szCs w:val="21"/>
          <w:lang w:val="en-US" w:eastAsia="zh-CN"/>
        </w:rPr>
      </w:pPr>
      <w:r>
        <w:rPr>
          <w:rFonts w:hint="default" w:ascii="宋体" w:hAnsi="宋体" w:cs="宋体"/>
          <w:szCs w:val="21"/>
          <w:lang w:val="en-US" w:eastAsia="zh-CN"/>
        </w:rPr>
        <w:t>3、申请人所申请的专业学位类别及领域应与住院医师规范化培训学科相对应。</w:t>
      </w:r>
    </w:p>
    <w:p w14:paraId="73847F08">
      <w:pPr>
        <w:widowControl w:val="0"/>
        <w:numPr>
          <w:ilvl w:val="0"/>
          <w:numId w:val="0"/>
        </w:numPr>
        <w:adjustRightInd w:val="0"/>
        <w:snapToGrid w:val="0"/>
        <w:jc w:val="both"/>
        <w:rPr>
          <w:rFonts w:hint="default" w:asciiTheme="minorEastAsia" w:hAnsiTheme="minorEastAsia" w:cstheme="minorEastAsia"/>
          <w:b/>
          <w:bCs/>
          <w:sz w:val="24"/>
          <w:szCs w:val="24"/>
          <w:lang w:val="en-US" w:eastAsia="zh-CN"/>
        </w:rPr>
      </w:pPr>
    </w:p>
    <w:p w14:paraId="0AEB3EE5">
      <w:pPr>
        <w:numPr>
          <w:ilvl w:val="0"/>
          <w:numId w:val="1"/>
        </w:numPr>
        <w:adjustRightInd w:val="0"/>
        <w:snapToGrid w:val="0"/>
        <w:jc w:val="both"/>
        <w:rPr>
          <w:rFonts w:hint="eastAsia" w:asciiTheme="minorEastAsia" w:hAnsiTheme="minorEastAsia" w:cstheme="minorEastAsia"/>
          <w:b/>
          <w:bCs/>
          <w:sz w:val="24"/>
          <w:szCs w:val="24"/>
          <w:lang w:val="en-US" w:eastAsia="zh-CN"/>
        </w:rPr>
      </w:pPr>
      <w:r>
        <w:rPr>
          <w:rFonts w:hint="eastAsia" w:asciiTheme="minorEastAsia" w:hAnsiTheme="minorEastAsia" w:cstheme="minorEastAsia"/>
          <w:b/>
          <w:bCs/>
          <w:sz w:val="24"/>
          <w:szCs w:val="24"/>
          <w:lang w:val="en-US" w:eastAsia="zh-CN"/>
        </w:rPr>
        <w:t>报名材料：</w:t>
      </w:r>
    </w:p>
    <w:p w14:paraId="5EC7CFDA">
      <w:pPr>
        <w:spacing w:line="500" w:lineRule="exact"/>
        <w:ind w:firstLine="420" w:firstLineChars="200"/>
        <w:rPr>
          <w:rFonts w:hint="eastAsia" w:ascii="宋体" w:hAnsi="宋体" w:cs="宋体"/>
          <w:szCs w:val="21"/>
          <w:lang w:val="en-US" w:eastAsia="zh-CN"/>
        </w:rPr>
      </w:pPr>
      <w:r>
        <w:rPr>
          <w:rFonts w:hint="eastAsia" w:ascii="宋体" w:hAnsi="宋体" w:cs="宋体"/>
          <w:szCs w:val="21"/>
          <w:lang w:val="en-US" w:eastAsia="zh-CN"/>
        </w:rPr>
        <w:t>1、学士学位证书原件及复印件（获得国外学士学位的考生须提交教育部留学服务中心提供的学位认证书原件）；</w:t>
      </w:r>
    </w:p>
    <w:p w14:paraId="525AC73D">
      <w:pPr>
        <w:spacing w:line="500" w:lineRule="exact"/>
        <w:ind w:firstLine="420" w:firstLineChars="200"/>
        <w:rPr>
          <w:rFonts w:hint="eastAsia" w:ascii="宋体" w:hAnsi="宋体" w:cs="宋体"/>
          <w:szCs w:val="21"/>
          <w:lang w:val="en-US" w:eastAsia="zh-CN"/>
        </w:rPr>
      </w:pPr>
      <w:r>
        <w:rPr>
          <w:rFonts w:hint="eastAsia" w:ascii="宋体" w:hAnsi="宋体" w:cs="宋体"/>
          <w:szCs w:val="21"/>
          <w:lang w:val="en-US" w:eastAsia="zh-CN"/>
        </w:rPr>
        <w:t>2、中国高等教育学位在线验证或认证报告 (由学信网出具)打印件；</w:t>
      </w:r>
    </w:p>
    <w:p w14:paraId="672983BE">
      <w:pPr>
        <w:spacing w:line="500" w:lineRule="exact"/>
        <w:ind w:firstLine="420" w:firstLineChars="200"/>
        <w:rPr>
          <w:rFonts w:hint="eastAsia" w:ascii="宋体" w:hAnsi="宋体" w:cs="宋体"/>
          <w:szCs w:val="21"/>
          <w:lang w:val="en-US" w:eastAsia="zh-CN"/>
        </w:rPr>
      </w:pPr>
      <w:r>
        <w:rPr>
          <w:rFonts w:hint="eastAsia" w:ascii="宋体" w:hAnsi="宋体" w:cs="宋体"/>
          <w:szCs w:val="21"/>
          <w:lang w:val="en-US" w:eastAsia="zh-CN"/>
        </w:rPr>
        <w:t>3、本科学历证书原件及复印件；</w:t>
      </w:r>
    </w:p>
    <w:p w14:paraId="7A652A38">
      <w:pPr>
        <w:spacing w:line="500" w:lineRule="exact"/>
        <w:ind w:firstLine="420" w:firstLineChars="200"/>
        <w:rPr>
          <w:rFonts w:hint="eastAsia" w:ascii="宋体" w:hAnsi="宋体" w:cs="宋体"/>
          <w:szCs w:val="21"/>
          <w:lang w:val="en-US" w:eastAsia="zh-CN"/>
        </w:rPr>
      </w:pPr>
      <w:r>
        <w:rPr>
          <w:rFonts w:hint="eastAsia" w:ascii="宋体" w:hAnsi="宋体" w:cs="宋体"/>
          <w:szCs w:val="21"/>
          <w:lang w:val="en-US" w:eastAsia="zh-CN"/>
        </w:rPr>
        <w:t>4、第二代身份证原件及复印件；</w:t>
      </w:r>
    </w:p>
    <w:p w14:paraId="77C421BD">
      <w:pPr>
        <w:spacing w:line="500" w:lineRule="exact"/>
        <w:ind w:firstLine="420" w:firstLineChars="200"/>
        <w:rPr>
          <w:rFonts w:hint="eastAsia" w:ascii="宋体" w:hAnsi="宋体" w:cs="宋体"/>
          <w:szCs w:val="21"/>
          <w:lang w:val="en-US" w:eastAsia="zh-CN"/>
        </w:rPr>
      </w:pPr>
      <w:r>
        <w:rPr>
          <w:rFonts w:hint="eastAsia" w:ascii="宋体" w:hAnsi="宋体" w:cs="宋体"/>
          <w:szCs w:val="21"/>
          <w:lang w:val="en-US" w:eastAsia="zh-CN"/>
        </w:rPr>
        <w:t>5、住院医师规范化培训合格证书原件及复印件1份，或住院医师规范化培训基地出具的在培证明（同等学力申请临床医学专业型硕士学位的学员必须提交）；</w:t>
      </w:r>
    </w:p>
    <w:p w14:paraId="47529B30">
      <w:pPr>
        <w:spacing w:line="500" w:lineRule="exact"/>
        <w:ind w:firstLine="420" w:firstLineChars="200"/>
        <w:rPr>
          <w:rFonts w:hint="eastAsia" w:ascii="宋体" w:hAnsi="宋体" w:cs="宋体"/>
          <w:szCs w:val="21"/>
          <w:lang w:val="en-US" w:eastAsia="zh-CN"/>
        </w:rPr>
      </w:pPr>
      <w:r>
        <w:rPr>
          <w:rFonts w:hint="eastAsia" w:ascii="宋体" w:hAnsi="宋体" w:cs="宋体"/>
          <w:szCs w:val="21"/>
          <w:lang w:val="en-US" w:eastAsia="zh-CN"/>
        </w:rPr>
        <w:t>6、已填写的《长江大学同等学力人员申请硕士学位报名表》；</w:t>
      </w:r>
    </w:p>
    <w:p w14:paraId="42F761F8">
      <w:pPr>
        <w:spacing w:line="500" w:lineRule="exact"/>
        <w:ind w:firstLine="420" w:firstLineChars="200"/>
        <w:rPr>
          <w:rFonts w:hint="eastAsia" w:ascii="宋体" w:hAnsi="宋体" w:cs="宋体"/>
          <w:szCs w:val="21"/>
          <w:lang w:val="en-US" w:eastAsia="zh-CN"/>
        </w:rPr>
      </w:pPr>
      <w:r>
        <w:rPr>
          <w:rFonts w:hint="eastAsia" w:ascii="宋体" w:hAnsi="宋体" w:cs="宋体"/>
          <w:szCs w:val="21"/>
          <w:lang w:val="en-US" w:eastAsia="zh-CN"/>
        </w:rPr>
        <w:t>7、两张2寸纸质照片（需与信息平台提交的电子照片一致）。</w:t>
      </w:r>
    </w:p>
    <w:p w14:paraId="159CC929">
      <w:pPr>
        <w:widowControl w:val="0"/>
        <w:numPr>
          <w:ilvl w:val="0"/>
          <w:numId w:val="0"/>
        </w:numPr>
        <w:adjustRightInd w:val="0"/>
        <w:snapToGrid w:val="0"/>
        <w:jc w:val="both"/>
        <w:rPr>
          <w:rFonts w:hint="eastAsia" w:asciiTheme="minorEastAsia" w:hAnsiTheme="minorEastAsia" w:cstheme="minorEastAsia"/>
          <w:b/>
          <w:bCs/>
          <w:sz w:val="24"/>
          <w:szCs w:val="24"/>
          <w:lang w:val="en-US" w:eastAsia="zh-CN"/>
        </w:rPr>
      </w:pPr>
    </w:p>
    <w:p w14:paraId="0ECEFC93">
      <w:pPr>
        <w:widowControl w:val="0"/>
        <w:numPr>
          <w:ilvl w:val="0"/>
          <w:numId w:val="0"/>
        </w:numPr>
        <w:adjustRightInd w:val="0"/>
        <w:snapToGrid w:val="0"/>
        <w:jc w:val="both"/>
        <w:rPr>
          <w:rFonts w:hint="default" w:asciiTheme="minorEastAsia" w:hAnsiTheme="minorEastAsia" w:cstheme="minorEastAsia"/>
          <w:b/>
          <w:bCs/>
          <w:sz w:val="24"/>
          <w:szCs w:val="24"/>
          <w:lang w:val="en-US" w:eastAsia="zh-CN"/>
        </w:rPr>
      </w:pPr>
    </w:p>
    <w:p w14:paraId="6EEDE218">
      <w:pPr>
        <w:numPr>
          <w:ilvl w:val="0"/>
          <w:numId w:val="1"/>
        </w:numPr>
        <w:adjustRightInd w:val="0"/>
        <w:snapToGrid w:val="0"/>
        <w:jc w:val="both"/>
        <w:rPr>
          <w:rFonts w:hint="default" w:asciiTheme="minorEastAsia" w:hAnsiTheme="minorEastAsia" w:cstheme="minorEastAsia"/>
          <w:b/>
          <w:bCs/>
          <w:sz w:val="24"/>
          <w:szCs w:val="24"/>
          <w:lang w:val="en-US" w:eastAsia="zh-CN"/>
        </w:rPr>
      </w:pPr>
      <w:r>
        <w:rPr>
          <w:rFonts w:hint="eastAsia" w:asciiTheme="minorEastAsia" w:hAnsiTheme="minorEastAsia" w:cstheme="minorEastAsia"/>
          <w:b/>
          <w:bCs/>
          <w:sz w:val="24"/>
          <w:szCs w:val="24"/>
          <w:lang w:val="en-US" w:eastAsia="zh-CN"/>
        </w:rPr>
        <w:t>培养方式：</w:t>
      </w:r>
    </w:p>
    <w:p w14:paraId="30A714A5">
      <w:pPr>
        <w:spacing w:line="500" w:lineRule="exact"/>
        <w:ind w:firstLine="420" w:firstLineChars="200"/>
        <w:rPr>
          <w:rFonts w:hint="eastAsia" w:ascii="宋体" w:hAnsi="宋体" w:cs="宋体"/>
          <w:szCs w:val="21"/>
          <w:lang w:val="en-US" w:eastAsia="zh-CN"/>
        </w:rPr>
      </w:pPr>
      <w:r>
        <w:rPr>
          <w:rFonts w:hint="eastAsia" w:ascii="宋体" w:hAnsi="宋体" w:cs="宋体"/>
          <w:szCs w:val="21"/>
          <w:lang w:val="en-US" w:eastAsia="zh-CN"/>
        </w:rPr>
        <w:t>申请人采取线下进行课程学习或参加学校认可的“学堂在线”线上课程学习。根</w:t>
      </w:r>
      <w:r>
        <w:rPr>
          <w:rFonts w:hint="default" w:ascii="宋体" w:hAnsi="宋体" w:cs="宋体"/>
          <w:szCs w:val="21"/>
          <w:lang w:val="en-US" w:eastAsia="zh-CN"/>
        </w:rPr>
        <w:t>据相应人才培养方案设置有关课程，修读课程并通过考试，达到要求的学分。</w:t>
      </w:r>
    </w:p>
    <w:p w14:paraId="545EB035">
      <w:pPr>
        <w:spacing w:line="500" w:lineRule="exact"/>
        <w:ind w:firstLine="420" w:firstLineChars="200"/>
        <w:rPr>
          <w:rFonts w:hint="eastAsia" w:ascii="宋体" w:hAnsi="宋体" w:cs="宋体"/>
          <w:szCs w:val="21"/>
          <w:lang w:val="en-US" w:eastAsia="zh-CN"/>
        </w:rPr>
      </w:pPr>
    </w:p>
    <w:p w14:paraId="5AC64874">
      <w:pPr>
        <w:widowControl w:val="0"/>
        <w:numPr>
          <w:ilvl w:val="0"/>
          <w:numId w:val="0"/>
        </w:numPr>
        <w:adjustRightInd w:val="0"/>
        <w:snapToGrid w:val="0"/>
        <w:jc w:val="both"/>
        <w:rPr>
          <w:rFonts w:hint="eastAsia" w:asciiTheme="minorEastAsia" w:hAnsiTheme="minorEastAsia" w:cstheme="minorEastAsia"/>
          <w:b/>
          <w:bCs/>
          <w:sz w:val="24"/>
          <w:szCs w:val="24"/>
          <w:lang w:val="en-US" w:eastAsia="zh-CN"/>
        </w:rPr>
      </w:pPr>
    </w:p>
    <w:p w14:paraId="065A388B">
      <w:pPr>
        <w:widowControl w:val="0"/>
        <w:numPr>
          <w:ilvl w:val="0"/>
          <w:numId w:val="0"/>
        </w:numPr>
        <w:adjustRightInd w:val="0"/>
        <w:snapToGrid w:val="0"/>
        <w:jc w:val="both"/>
        <w:rPr>
          <w:rFonts w:hint="default" w:asciiTheme="minorEastAsia" w:hAnsiTheme="minorEastAsia" w:cstheme="minorEastAsia"/>
          <w:b/>
          <w:bCs/>
          <w:sz w:val="24"/>
          <w:szCs w:val="24"/>
          <w:lang w:val="en-US" w:eastAsia="zh-CN"/>
        </w:rPr>
      </w:pPr>
    </w:p>
    <w:p w14:paraId="3F88EA70">
      <w:pPr>
        <w:numPr>
          <w:ilvl w:val="0"/>
          <w:numId w:val="1"/>
        </w:numPr>
        <w:adjustRightInd w:val="0"/>
        <w:snapToGrid w:val="0"/>
        <w:jc w:val="both"/>
        <w:rPr>
          <w:rFonts w:hint="default" w:asciiTheme="minorEastAsia" w:hAnsiTheme="minorEastAsia" w:cstheme="minorEastAsia"/>
          <w:b/>
          <w:bCs/>
          <w:sz w:val="24"/>
          <w:szCs w:val="24"/>
          <w:lang w:val="en-US" w:eastAsia="zh-CN"/>
        </w:rPr>
      </w:pPr>
      <w:r>
        <w:rPr>
          <w:rFonts w:hint="eastAsia" w:asciiTheme="minorEastAsia" w:hAnsiTheme="minorEastAsia" w:cstheme="minorEastAsia"/>
          <w:b/>
          <w:bCs/>
          <w:sz w:val="24"/>
          <w:szCs w:val="24"/>
          <w:lang w:val="en-US" w:eastAsia="zh-CN"/>
        </w:rPr>
        <w:t>费用标准：</w:t>
      </w:r>
    </w:p>
    <w:p w14:paraId="6695DB42">
      <w:pPr>
        <w:numPr>
          <w:ilvl w:val="0"/>
          <w:numId w:val="2"/>
        </w:numPr>
        <w:spacing w:line="500" w:lineRule="exact"/>
        <w:ind w:firstLine="420" w:firstLineChars="200"/>
        <w:rPr>
          <w:rFonts w:hint="eastAsia" w:ascii="宋体" w:hAnsi="宋体" w:cs="宋体"/>
          <w:szCs w:val="21"/>
          <w:lang w:val="en-US" w:eastAsia="zh-CN"/>
        </w:rPr>
      </w:pPr>
      <w:r>
        <w:rPr>
          <w:rFonts w:hint="eastAsia" w:ascii="宋体" w:hAnsi="宋体" w:cs="宋体"/>
          <w:szCs w:val="21"/>
          <w:lang w:val="en-US" w:eastAsia="zh-CN"/>
        </w:rPr>
        <w:t>第一阶段：学费18000元</w:t>
      </w:r>
    </w:p>
    <w:p w14:paraId="255AEE7A">
      <w:pPr>
        <w:numPr>
          <w:ilvl w:val="0"/>
          <w:numId w:val="2"/>
        </w:numPr>
        <w:spacing w:line="500" w:lineRule="exact"/>
        <w:ind w:firstLine="420" w:firstLineChars="200"/>
        <w:rPr>
          <w:rFonts w:hint="eastAsia" w:ascii="宋体" w:hAnsi="宋体" w:cs="宋体"/>
          <w:szCs w:val="21"/>
          <w:lang w:val="en-US" w:eastAsia="zh-CN"/>
        </w:rPr>
      </w:pPr>
      <w:r>
        <w:rPr>
          <w:rFonts w:hint="eastAsia" w:ascii="宋体" w:hAnsi="宋体" w:cs="宋体"/>
          <w:szCs w:val="21"/>
          <w:lang w:val="en-US" w:eastAsia="zh-CN"/>
        </w:rPr>
        <w:t>学习平台费：5000元</w:t>
      </w:r>
    </w:p>
    <w:p w14:paraId="30332688">
      <w:pPr>
        <w:numPr>
          <w:ilvl w:val="0"/>
          <w:numId w:val="2"/>
        </w:numPr>
        <w:spacing w:line="500" w:lineRule="exact"/>
        <w:ind w:firstLine="420" w:firstLineChars="200"/>
        <w:rPr>
          <w:rFonts w:hint="eastAsia" w:ascii="宋体" w:hAnsi="宋体" w:cs="宋体"/>
          <w:szCs w:val="21"/>
          <w:lang w:val="en-US" w:eastAsia="zh-CN"/>
        </w:rPr>
      </w:pPr>
      <w:r>
        <w:rPr>
          <w:rFonts w:hint="eastAsia" w:ascii="宋体" w:hAnsi="宋体" w:cs="宋体"/>
          <w:szCs w:val="21"/>
          <w:lang w:val="en-US" w:eastAsia="zh-CN"/>
        </w:rPr>
        <w:t>论文答辩费：12000元</w:t>
      </w:r>
    </w:p>
    <w:p w14:paraId="30C49503">
      <w:pPr>
        <w:widowControl w:val="0"/>
        <w:numPr>
          <w:ilvl w:val="0"/>
          <w:numId w:val="0"/>
        </w:numPr>
        <w:adjustRightInd w:val="0"/>
        <w:snapToGrid w:val="0"/>
        <w:jc w:val="both"/>
        <w:rPr>
          <w:rFonts w:hint="eastAsia" w:asciiTheme="minorEastAsia" w:hAnsiTheme="minorEastAsia" w:cstheme="minorEastAsia"/>
          <w:b/>
          <w:bCs/>
          <w:sz w:val="24"/>
          <w:szCs w:val="24"/>
          <w:lang w:val="en-US" w:eastAsia="zh-CN"/>
        </w:rPr>
      </w:pPr>
    </w:p>
    <w:p w14:paraId="4AFB29DE">
      <w:pPr>
        <w:widowControl w:val="0"/>
        <w:numPr>
          <w:ilvl w:val="0"/>
          <w:numId w:val="0"/>
        </w:numPr>
        <w:adjustRightInd w:val="0"/>
        <w:snapToGrid w:val="0"/>
        <w:jc w:val="both"/>
        <w:rPr>
          <w:rFonts w:hint="default" w:asciiTheme="minorEastAsia" w:hAnsiTheme="minorEastAsia" w:cstheme="minorEastAsia"/>
          <w:b/>
          <w:bCs/>
          <w:sz w:val="24"/>
          <w:szCs w:val="24"/>
          <w:lang w:val="en-US" w:eastAsia="zh-CN"/>
        </w:rPr>
      </w:pPr>
    </w:p>
    <w:p w14:paraId="1F1EFB26">
      <w:pPr>
        <w:numPr>
          <w:ilvl w:val="0"/>
          <w:numId w:val="1"/>
        </w:numPr>
        <w:adjustRightInd w:val="0"/>
        <w:snapToGrid w:val="0"/>
        <w:jc w:val="both"/>
        <w:rPr>
          <w:rFonts w:hint="default" w:asciiTheme="minorEastAsia" w:hAnsiTheme="minorEastAsia" w:cstheme="minorEastAsia"/>
          <w:b/>
          <w:bCs/>
          <w:sz w:val="24"/>
          <w:szCs w:val="24"/>
          <w:lang w:val="en-US" w:eastAsia="zh-CN"/>
        </w:rPr>
      </w:pPr>
      <w:r>
        <w:rPr>
          <w:rFonts w:hint="default" w:asciiTheme="minorEastAsia" w:hAnsiTheme="minorEastAsia" w:cstheme="minorEastAsia"/>
          <w:b/>
          <w:bCs/>
          <w:sz w:val="24"/>
          <w:szCs w:val="24"/>
          <w:lang w:val="en-US" w:eastAsia="zh-CN"/>
        </w:rPr>
        <w:t>特别提醒：</w:t>
      </w:r>
    </w:p>
    <w:p w14:paraId="2EAEFB19">
      <w:pPr>
        <w:numPr>
          <w:ilvl w:val="0"/>
          <w:numId w:val="3"/>
        </w:numPr>
        <w:spacing w:line="500" w:lineRule="exact"/>
        <w:ind w:firstLine="420" w:firstLineChars="200"/>
        <w:rPr>
          <w:rFonts w:hint="default" w:ascii="宋体" w:hAnsi="宋体" w:cs="宋体"/>
          <w:szCs w:val="21"/>
          <w:lang w:val="en-US" w:eastAsia="zh-CN"/>
        </w:rPr>
      </w:pPr>
      <w:r>
        <w:rPr>
          <w:rFonts w:hint="default" w:ascii="宋体" w:hAnsi="宋体" w:cs="宋体"/>
          <w:szCs w:val="21"/>
          <w:lang w:val="en-US" w:eastAsia="zh-CN"/>
        </w:rPr>
        <w:t>申请人自通过资格审查注册为我校学员之日起，最长学习年限不得超过五年，否则予以清退。</w:t>
      </w:r>
    </w:p>
    <w:p w14:paraId="39BC66DC">
      <w:pPr>
        <w:numPr>
          <w:ilvl w:val="0"/>
          <w:numId w:val="3"/>
        </w:numPr>
        <w:spacing w:line="500" w:lineRule="exact"/>
        <w:ind w:firstLine="420" w:firstLineChars="200"/>
        <w:rPr>
          <w:rFonts w:hint="default" w:ascii="宋体" w:hAnsi="宋体" w:cs="宋体"/>
          <w:szCs w:val="21"/>
          <w:lang w:val="en-US" w:eastAsia="zh-CN"/>
        </w:rPr>
      </w:pPr>
      <w:r>
        <w:rPr>
          <w:rFonts w:hint="default" w:ascii="宋体" w:hAnsi="宋体" w:cs="宋体"/>
          <w:szCs w:val="21"/>
          <w:lang w:val="en-US" w:eastAsia="zh-CN"/>
        </w:rPr>
        <w:t>申请人必须在四年之内修完所申请专业同等学力培养方案规定的课程，按要求参加考试，取得合格成绩，修满规定的学分，并通过同等学力人员申请硕士学位外国语水平全国统一考试及学科综合水平全国统一考试。</w:t>
      </w:r>
    </w:p>
    <w:p w14:paraId="3CEF88CF">
      <w:pPr>
        <w:numPr>
          <w:ilvl w:val="0"/>
          <w:numId w:val="3"/>
        </w:numPr>
        <w:spacing w:line="500" w:lineRule="exact"/>
        <w:ind w:firstLine="420" w:firstLineChars="200"/>
      </w:pPr>
      <w:r>
        <w:rPr>
          <w:rFonts w:hint="default" w:ascii="宋体" w:hAnsi="宋体" w:cs="宋体"/>
          <w:szCs w:val="21"/>
          <w:lang w:val="en-US" w:eastAsia="zh-CN"/>
        </w:rPr>
        <w:t>四年内未通过课程考试和国家组织的水平考试者，本次学位申请无效。</w:t>
      </w: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message-box">
    <w:altName w:val="★懐流体"/>
    <w:panose1 w:val="00000000000000000000"/>
    <w:charset w:val="00"/>
    <w:family w:val="auto"/>
    <w:pitch w:val="default"/>
    <w:sig w:usb0="00000000" w:usb1="00000000" w:usb2="00000000" w:usb3="00000000" w:csb0="00000000" w:csb1="00000000"/>
  </w:font>
  <w:font w:name="★懐流体">
    <w:panose1 w:val="02000600000000000000"/>
    <w:charset w:val="80"/>
    <w:family w:val="auto"/>
    <w:pitch w:val="default"/>
    <w:sig w:usb0="A00002BF" w:usb1="68C7FCFB" w:usb2="00000010" w:usb3="00000000" w:csb0="4002009F" w:csb1="DFD70000"/>
  </w:font>
  <w:font w:name="sans-serif">
    <w:altName w:val="★懐流体"/>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F81EB8">
    <w:pPr>
      <w:pStyle w:val="3"/>
    </w:pP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5120640"/>
          <wp:effectExtent l="0" t="0" r="2540" b="3810"/>
          <wp:wrapNone/>
          <wp:docPr id="2" name="WordPictureWatermark10644" descr="长江大学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10644" descr="长江大学logo"/>
                  <pic:cNvPicPr>
                    <a:picLocks noChangeAspect="1"/>
                  </pic:cNvPicPr>
                </pic:nvPicPr>
                <pic:blipFill>
                  <a:blip r:embed="rId1">
                    <a:lum bright="70000" contrast="-70000"/>
                  </a:blip>
                  <a:stretch>
                    <a:fillRect/>
                  </a:stretch>
                </pic:blipFill>
                <pic:spPr>
                  <a:xfrm>
                    <a:off x="0" y="0"/>
                    <a:ext cx="5274310" cy="512064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7F5AF5"/>
    <w:multiLevelType w:val="singleLevel"/>
    <w:tmpl w:val="8D7F5AF5"/>
    <w:lvl w:ilvl="0" w:tentative="0">
      <w:start w:val="1"/>
      <w:numFmt w:val="chineseCounting"/>
      <w:suff w:val="nothing"/>
      <w:lvlText w:val="%1、"/>
      <w:lvlJc w:val="left"/>
      <w:rPr>
        <w:rFonts w:hint="eastAsia"/>
      </w:rPr>
    </w:lvl>
  </w:abstractNum>
  <w:abstractNum w:abstractNumId="1">
    <w:nsid w:val="184037D7"/>
    <w:multiLevelType w:val="singleLevel"/>
    <w:tmpl w:val="184037D7"/>
    <w:lvl w:ilvl="0" w:tentative="0">
      <w:start w:val="1"/>
      <w:numFmt w:val="decimal"/>
      <w:suff w:val="nothing"/>
      <w:lvlText w:val="%1、"/>
      <w:lvlJc w:val="left"/>
    </w:lvl>
  </w:abstractNum>
  <w:abstractNum w:abstractNumId="2">
    <w:nsid w:val="36753B42"/>
    <w:multiLevelType w:val="singleLevel"/>
    <w:tmpl w:val="36753B42"/>
    <w:lvl w:ilvl="0" w:tentative="0">
      <w:start w:val="1"/>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JkYmYyOGQwNjU2YTFjYjBlYWQzZDdlZjc2Nzk1ZWYifQ=="/>
  </w:docVars>
  <w:rsids>
    <w:rsidRoot w:val="32A31560"/>
    <w:rsid w:val="032C4E8C"/>
    <w:rsid w:val="13B54A2A"/>
    <w:rsid w:val="147F2942"/>
    <w:rsid w:val="28BB5002"/>
    <w:rsid w:val="32737B32"/>
    <w:rsid w:val="32987598"/>
    <w:rsid w:val="32A31560"/>
    <w:rsid w:val="35F24F62"/>
    <w:rsid w:val="3B1F0857"/>
    <w:rsid w:val="45592BB7"/>
    <w:rsid w:val="488A12DA"/>
    <w:rsid w:val="4B50680B"/>
    <w:rsid w:val="4C76404F"/>
    <w:rsid w:val="4E393586"/>
    <w:rsid w:val="4E6F0D56"/>
    <w:rsid w:val="509608F5"/>
    <w:rsid w:val="554C0043"/>
    <w:rsid w:val="5EEE3F19"/>
    <w:rsid w:val="60B847DE"/>
    <w:rsid w:val="65A50229"/>
    <w:rsid w:val="65E87914"/>
    <w:rsid w:val="6CBA7628"/>
    <w:rsid w:val="72DC3AFD"/>
    <w:rsid w:val="78C728B3"/>
    <w:rsid w:val="7A0F14BB"/>
    <w:rsid w:val="7FAE70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1693</Words>
  <Characters>1736</Characters>
  <Lines>0</Lines>
  <Paragraphs>0</Paragraphs>
  <TotalTime>69</TotalTime>
  <ScaleCrop>false</ScaleCrop>
  <LinksUpToDate>false</LinksUpToDate>
  <CharactersWithSpaces>1737</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2026-07-25T08:32:00Z</dcterms:created>
  <dc:creator>Administrator</dc:creator>
  <cp:lastModifiedBy>Administrator</cp:lastModifiedBy>
  <dcterms:modified xsi:type="dcterms:W3CDTF">2026-02-18T09:32:46Z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FC9EC50628D9471CB7F17061BAB9DBAA_13</vt:lpwstr>
  </property>
  <property fmtid="{D5CDD505-2E9C-101B-9397-08002B2CF9AE}" pid="4" name="KSOTemplateDocerSaveRecord">
    <vt:lpwstr>eyJoZGlkIjoiNGQ5ODQ5N2Q1NmI0ZDAwYTJiMTcyMmU3ZjhhMWE4NmEifQ==</vt:lpwstr>
  </property>
</Properties>
</file>