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before="0" w:after="0"/>
        <w:contextualSpacing/>
        <w:rPr>
          <w:rFonts w:ascii="宋体" w:hAnsi="宋体" w:cs="宋体" w:hint="eastAsia"/>
          <w:sz w:val="24"/>
          <w:szCs w:val="24"/>
        </w:rPr>
      </w:pPr>
      <w:r>
        <w:rPr>
          <w:rFonts w:ascii="宋体" w:hAnsi="宋体" w:cs="宋体"/>
          <w:sz w:val="24"/>
          <w:szCs w:val="24"/>
          <w:lang w:val="zh-CN" w:eastAsia="zh-CN"/>
        </w:rPr>
        <w:drawing>
          <wp:inline distT="0" distB="0" distL="0" distR="0">
            <wp:extent cx="5276850" cy="11899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2"/>
                    <a:srcRect l="-6" t="-26" r="-6" b="-26"/>
                    <a:stretch>
                      <a:fillRect/>
                    </a:stretch>
                  </pic:blipFill>
                  <pic:spPr bwMode="auto">
                    <a:xfrm>
                      <a:off x="0" y="0"/>
                      <a:ext cx="5276850" cy="1189990"/>
                    </a:xfrm>
                    <a:prstGeom prst="rect">
                      <a:avLst/>
                    </a:prstGeom>
                    <a:noFill/>
                  </pic:spPr>
                </pic:pic>
              </a:graphicData>
            </a:graphic>
          </wp:inline>
        </w:drawing>
      </w:r>
    </w:p>
    <w:p>
      <w:pPr>
        <w:pStyle w:val="Normal"/>
        <w:spacing w:lineRule="auto" w:line="360" w:before="0" w:after="0"/>
        <w:ind w:hangingChars="900" w:startChars="0" w:start="0" w:endChars="0" w:end="0"/>
        <w:contextualSpacing/>
        <w:rPr>
          <w:rFonts w:ascii="宋体" w:hAnsi="宋体" w:cs="宋体" w:hint="eastAsia"/>
          <w:b/>
          <w:sz w:val="32"/>
          <w:szCs w:val="32"/>
        </w:rPr>
      </w:pPr>
      <w:r>
        <w:rPr>
          <w:rFonts w:cs="宋体" w:hint="eastAsia" w:ascii="宋体" w:hAnsi="宋体"/>
          <w:b/>
          <w:sz w:val="32"/>
          <w:szCs w:val="32"/>
        </w:rPr>
      </w:r>
    </w:p>
    <w:p>
      <w:pPr>
        <w:pStyle w:val="Normal"/>
        <w:spacing w:lineRule="auto" w:line="360" w:before="0" w:after="0"/>
        <w:ind w:hangingChars="900" w:startChars="0" w:start="0" w:endChars="0" w:end="0"/>
        <w:contextualSpacing/>
        <w:jc w:val="center"/>
        <w:rPr>
          <w:rFonts w:ascii="宋体" w:hAnsi="宋体" w:cs="宋体" w:hint="eastAsia"/>
          <w:b/>
          <w:color w:val="000000"/>
          <w:sz w:val="32"/>
          <w:szCs w:val="32"/>
        </w:rPr>
      </w:pPr>
      <w:r>
        <w:rPr>
          <w:rFonts w:ascii="宋体" w:hAnsi="宋体" w:cs="宋体" w:hint="eastAsia"/>
          <w:b/>
          <w:color w:val="000000"/>
          <w:sz w:val="32"/>
          <w:szCs w:val="32"/>
        </w:rPr>
        <w:t>武汉工程大学材料加工工程专业同等学力人员</w:t>
      </w:r>
    </w:p>
    <w:p>
      <w:pPr>
        <w:pStyle w:val="Normal"/>
        <w:spacing w:lineRule="auto" w:line="360" w:before="0" w:after="0"/>
        <w:ind w:hangingChars="900" w:startChars="0" w:start="0" w:endChars="0" w:end="0"/>
        <w:contextualSpacing/>
        <w:jc w:val="center"/>
        <w:rPr>
          <w:rFonts w:ascii="宋体" w:hAnsi="宋体" w:cs="宋体" w:hint="eastAsia"/>
          <w:b/>
          <w:color w:val="000000"/>
          <w:sz w:val="32"/>
          <w:szCs w:val="32"/>
        </w:rPr>
      </w:pPr>
      <w:r>
        <w:rPr>
          <w:rFonts w:ascii="宋体" w:hAnsi="宋体" w:cs="宋体" w:hint="eastAsia"/>
          <w:b/>
          <w:color w:val="000000"/>
          <w:sz w:val="32"/>
          <w:szCs w:val="32"/>
        </w:rPr>
        <w:t>申请硕士学位招生简章</w:t>
      </w:r>
    </w:p>
    <w:p>
      <w:pPr>
        <w:pStyle w:val="Normal"/>
        <w:spacing w:lineRule="auto" w:line="360" w:before="0" w:after="0"/>
        <w:ind w:firstLineChars="1400" w:startChars="0" w:start="0" w:endChars="0" w:end="0"/>
        <w:contextualSpacing/>
        <w:rPr>
          <w:rFonts w:ascii="宋体" w:hAnsi="宋体" w:cs="宋体"/>
          <w:color w:val="FF0000"/>
          <w:sz w:val="24"/>
          <w:szCs w:val="24"/>
        </w:rPr>
      </w:pPr>
      <w:r>
        <w:rPr>
          <w:rFonts w:ascii="宋体" w:hAnsi="宋体" w:cs="宋体"/>
          <w:color w:val="FF0000"/>
          <w:sz w:val="24"/>
          <w:szCs w:val="24"/>
        </w:rPr>
        <w:t>面向全国招生</w:t>
      </w:r>
      <w:r>
        <w:rPr>
          <w:rFonts w:ascii="宋体" w:hAnsi="宋体" w:cs="宋体" w:hint="eastAsia"/>
          <w:color w:val="FF0000"/>
          <w:sz w:val="24"/>
          <w:szCs w:val="24"/>
        </w:rPr>
        <w:t xml:space="preserve">     </w:t>
      </w:r>
    </w:p>
    <w:p>
      <w:pPr>
        <w:pStyle w:val="Normal"/>
        <w:spacing w:lineRule="auto" w:line="360" w:before="0" w:after="0"/>
        <w:contextualSpacing/>
        <w:rPr>
          <w:rFonts w:ascii="宋体" w:hAnsi="宋体" w:cs="宋体"/>
          <w:sz w:val="24"/>
          <w:szCs w:val="24"/>
        </w:rPr>
      </w:pPr>
      <w:r>
        <w:rPr>
          <w:rFonts w:cs="宋体" w:ascii="宋体" w:hAnsi="宋体"/>
          <w:color w:val="FF0000"/>
          <w:sz w:val="24"/>
          <w:szCs w:val="24"/>
        </w:rPr>
      </w:r>
    </w:p>
    <w:p>
      <w:pPr>
        <w:pStyle w:val="Normal"/>
        <w:tabs>
          <w:tab w:val="clear" w:pos="420"/>
          <w:tab w:val="left" w:pos="720" w:leader="none"/>
        </w:tabs>
        <w:spacing w:lineRule="auto" w:line="360" w:before="0" w:after="0"/>
        <w:contextualSpacing/>
        <w:rPr>
          <w:rFonts w:ascii="宋体" w:hAnsi="宋体" w:cs="宋体" w:hint="eastAsia"/>
          <w:spacing w:val="-13"/>
          <w:sz w:val="24"/>
          <w:szCs w:val="24"/>
        </w:rPr>
      </w:pPr>
      <w:r>
        <w:rPr>
          <w:rFonts w:cs="宋体" w:hint="eastAsia" w:ascii="宋体" w:hAnsi="宋体"/>
          <w:spacing w:val="-13"/>
          <w:sz w:val="24"/>
          <w:szCs w:val="24"/>
        </w:rPr>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bCs/>
          <w:kern w:val="0"/>
          <w:szCs w:val="21"/>
        </w:rPr>
      </w:pPr>
      <w:r>
        <w:rPr>
          <w:rFonts w:ascii="宋体" w:hAnsi="宋体" w:cs="宋体" w:hint="eastAsia"/>
          <w:bCs/>
          <w:kern w:val="0"/>
          <w:szCs w:val="21"/>
        </w:rPr>
        <w:t>武汉工程大学是一所以工为主，覆盖工、理、管、经、文、法、艺术、医学、教育学等九大学科门类的教学研究型大学。学校是湖北省重点建设高校，是“一所特色鲜明的高校”。</w:t>
      </w:r>
      <w:r>
        <w:rPr>
          <w:rFonts w:cs="宋体" w:hint="eastAsia" w:ascii="宋体" w:hAnsi="宋体"/>
          <w:bCs/>
          <w:kern w:val="0"/>
          <w:szCs w:val="21"/>
        </w:rPr>
        <w:t>2012</w:t>
      </w:r>
      <w:r>
        <w:rPr>
          <w:rFonts w:ascii="宋体" w:hAnsi="宋体" w:cs="宋体" w:hint="eastAsia"/>
          <w:bCs/>
          <w:kern w:val="0"/>
          <w:szCs w:val="21"/>
        </w:rPr>
        <w:t>年学校入选中西部高校基础能力建设工程（小</w:t>
      </w:r>
      <w:r>
        <w:rPr>
          <w:rFonts w:cs="宋体" w:hint="eastAsia" w:ascii="宋体" w:hAnsi="宋体"/>
          <w:bCs/>
          <w:kern w:val="0"/>
          <w:szCs w:val="21"/>
        </w:rPr>
        <w:t>211</w:t>
      </w:r>
      <w:r>
        <w:rPr>
          <w:rFonts w:ascii="宋体" w:hAnsi="宋体" w:cs="宋体" w:hint="eastAsia"/>
          <w:bCs/>
          <w:kern w:val="0"/>
          <w:szCs w:val="21"/>
        </w:rPr>
        <w:t>工程）。</w:t>
      </w:r>
      <w:r>
        <w:rPr>
          <w:rFonts w:cs="宋体" w:hint="eastAsia" w:ascii="宋体" w:hAnsi="宋体"/>
          <w:bCs/>
          <w:kern w:val="0"/>
          <w:szCs w:val="21"/>
        </w:rPr>
        <w:t>2013</w:t>
      </w:r>
      <w:r>
        <w:rPr>
          <w:rFonts w:ascii="宋体" w:hAnsi="宋体" w:cs="宋体" w:hint="eastAsia"/>
          <w:bCs/>
          <w:kern w:val="0"/>
          <w:szCs w:val="21"/>
        </w:rPr>
        <w:t>年学校被国务院学位委员会确定为博士学位授予单位。</w:t>
      </w:r>
      <w:r>
        <w:rPr>
          <w:rFonts w:cs="宋体" w:hint="eastAsia" w:ascii="宋体" w:hAnsi="宋体"/>
          <w:bCs/>
          <w:kern w:val="0"/>
          <w:szCs w:val="21"/>
        </w:rPr>
        <w:t>2014</w:t>
      </w:r>
      <w:r>
        <w:rPr>
          <w:rFonts w:ascii="宋体" w:hAnsi="宋体" w:cs="宋体" w:hint="eastAsia"/>
          <w:bCs/>
          <w:kern w:val="0"/>
          <w:szCs w:val="21"/>
        </w:rPr>
        <w:t>年学校整体进入一本高校行列。</w:t>
      </w:r>
    </w:p>
    <w:p>
      <w:pPr>
        <w:pStyle w:val="Normal"/>
        <w:tabs>
          <w:tab w:val="clear" w:pos="420"/>
          <w:tab w:val="left" w:pos="720" w:leader="none"/>
        </w:tabs>
        <w:spacing w:lineRule="auto" w:line="360" w:before="0" w:after="0"/>
        <w:contextualSpacing/>
        <w:rPr>
          <w:rFonts w:ascii="宋体" w:hAnsi="宋体" w:cs="宋体" w:hint="eastAsia"/>
          <w:spacing w:val="-13"/>
          <w:szCs w:val="21"/>
        </w:rPr>
      </w:pPr>
      <w:r>
        <w:rPr>
          <w:rFonts w:cs="宋体" w:hint="eastAsia" w:ascii="宋体" w:hAnsi="宋体"/>
          <w:bCs/>
          <w:spacing w:val="-13"/>
          <w:kern w:val="0"/>
          <w:szCs w:val="21"/>
        </w:rPr>
      </w:r>
    </w:p>
    <w:p>
      <w:pPr>
        <w:pStyle w:val="Style19"/>
        <w:tabs>
          <w:tab w:val="clear" w:pos="420"/>
          <w:tab w:val="left" w:pos="720" w:leader="none"/>
        </w:tabs>
        <w:spacing w:lineRule="auto" w:line="360" w:before="0" w:after="0"/>
        <w:ind w:firstLineChars="0" w:firstLine="0" w:endChars="0" w:end="0"/>
        <w:contextualSpacing/>
        <w:rPr>
          <w:rFonts w:ascii="宋体" w:hAnsi="宋体" w:cs="宋体" w:hint="eastAsia"/>
          <w:b/>
          <w:color w:val="0070C0"/>
          <w:spacing w:val="-13"/>
          <w:szCs w:val="21"/>
        </w:rPr>
      </w:pPr>
      <w:r>
        <w:rPr>
          <w:rFonts w:ascii="宋体" w:hAnsi="宋体" w:cs="宋体" w:hint="eastAsia"/>
          <w:b/>
          <w:color w:val="0070C0"/>
          <w:spacing w:val="-13"/>
          <w:szCs w:val="21"/>
        </w:rPr>
        <w:t>一、学院及专业简介</w:t>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bCs/>
          <w:kern w:val="0"/>
          <w:szCs w:val="21"/>
        </w:rPr>
      </w:pPr>
      <w:r>
        <w:rPr>
          <w:rFonts w:ascii="宋体" w:hAnsi="宋体" w:cs="宋体" w:hint="eastAsia"/>
          <w:bCs/>
          <w:kern w:val="0"/>
          <w:szCs w:val="21"/>
        </w:rPr>
        <w:t>材料科学与工程学院是由高分子材料与工程教研室、无机非金属材料工程教研室、矿物加工工程教研室和普通物理教研室部分教师组建成立的材料工程系，</w:t>
      </w:r>
      <w:r>
        <w:rPr>
          <w:rFonts w:cs="宋体" w:hint="eastAsia" w:ascii="宋体" w:hAnsi="宋体"/>
          <w:bCs/>
          <w:kern w:val="0"/>
          <w:szCs w:val="21"/>
        </w:rPr>
        <w:t>2003</w:t>
      </w:r>
      <w:r>
        <w:rPr>
          <w:rFonts w:ascii="宋体" w:hAnsi="宋体" w:cs="宋体" w:hint="eastAsia"/>
          <w:bCs/>
          <w:kern w:val="0"/>
          <w:szCs w:val="21"/>
        </w:rPr>
        <w:t>年正式更名为材料科学与工程学院。学院拥有雄厚的师资力量，具有专业的结构合理教学和强大的科研队伍。材料科学与工程学科</w:t>
      </w:r>
      <w:r>
        <w:rPr>
          <w:rFonts w:cs="宋体" w:hint="eastAsia" w:ascii="宋体" w:hAnsi="宋体"/>
          <w:bCs/>
          <w:kern w:val="0"/>
          <w:szCs w:val="21"/>
        </w:rPr>
        <w:t>2006</w:t>
      </w:r>
      <w:r>
        <w:rPr>
          <w:rFonts w:ascii="宋体" w:hAnsi="宋体" w:cs="宋体" w:hint="eastAsia"/>
          <w:bCs/>
          <w:kern w:val="0"/>
          <w:szCs w:val="21"/>
        </w:rPr>
        <w:t>年被评为湖北省一级重点学科，</w:t>
      </w:r>
      <w:r>
        <w:rPr>
          <w:rFonts w:cs="宋体" w:hint="eastAsia" w:ascii="宋体" w:hAnsi="宋体"/>
          <w:bCs/>
          <w:kern w:val="0"/>
          <w:szCs w:val="21"/>
        </w:rPr>
        <w:t>2007</w:t>
      </w:r>
      <w:r>
        <w:rPr>
          <w:rFonts w:ascii="宋体" w:hAnsi="宋体" w:cs="宋体" w:hint="eastAsia"/>
          <w:bCs/>
          <w:kern w:val="0"/>
          <w:szCs w:val="21"/>
        </w:rPr>
        <w:t>年被评为湖北省高校首批一级特色学科。</w:t>
      </w:r>
    </w:p>
    <w:p>
      <w:pPr>
        <w:pStyle w:val="Normal"/>
        <w:tabs>
          <w:tab w:val="clear" w:pos="420"/>
          <w:tab w:val="left" w:pos="720" w:leader="none"/>
        </w:tabs>
        <w:spacing w:lineRule="auto" w:line="360" w:before="0" w:after="0"/>
        <w:ind w:firstLineChars="200" w:startChars="0" w:start="0" w:endChars="0" w:end="0"/>
        <w:contextualSpacing/>
        <w:rPr>
          <w:rFonts w:ascii="宋体" w:hAnsi="宋体" w:cs="宋体" w:hint="eastAsia"/>
          <w:szCs w:val="21"/>
        </w:rPr>
      </w:pPr>
      <w:r>
        <w:rPr>
          <w:rFonts w:ascii="宋体" w:hAnsi="宋体" w:cs="宋体" w:hint="eastAsia"/>
          <w:szCs w:val="21"/>
        </w:rPr>
        <w:t>材料加工工程是</w:t>
      </w:r>
      <w:hyperlink r:id="rId3" w:tgtFrame="https://baike.baidu.com/item/%E6%9D%90%E6%96%99%E5%8A%A0%E5%B7%A5%E5%B7%A5%E7%A8%8B%E4%B8%93%E4%B8%9A/_blank">
        <w:r>
          <w:rPr>
            <w:rStyle w:val="Hyperlink"/>
            <w:rFonts w:ascii="宋体" w:hAnsi="宋体" w:cs="宋体"/>
            <w:szCs w:val="21"/>
          </w:rPr>
          <w:t>材料科学与工程</w:t>
        </w:r>
      </w:hyperlink>
      <w:r>
        <w:rPr>
          <w:rFonts w:ascii="宋体" w:hAnsi="宋体" w:cs="宋体"/>
          <w:szCs w:val="21"/>
        </w:rPr>
        <w:t>一级学科所属的二级学科之一。</w:t>
      </w:r>
      <w:r>
        <w:rPr>
          <w:rFonts w:ascii="宋体" w:hAnsi="宋体" w:cs="宋体" w:hint="eastAsia"/>
          <w:szCs w:val="21"/>
        </w:rPr>
        <w:t>是将原料、原材料（有时加入各种添加剂、助剂或改性材料）转变成实用材料或制品的一种工程技术。目前在中国学术界更多的指向聚合物加工，可以分为金属材料加工工程和</w:t>
      </w:r>
      <w:hyperlink r:id="rId4" w:tgtFrame="https://baike.baidu.com/item/%E6%9D%90%E6%96%99%E5%8A%A0%E5%B7%A5%E5%B7%A5%E7%A8%8B%E4%B8%93%E4%B8%9A/_blank">
        <w:r>
          <w:rPr>
            <w:rStyle w:val="Hyperlink"/>
            <w:rFonts w:ascii="宋体" w:hAnsi="宋体" w:cs="宋体"/>
            <w:szCs w:val="21"/>
          </w:rPr>
          <w:t>高分子材料加工工程</w:t>
        </w:r>
      </w:hyperlink>
      <w:r>
        <w:rPr>
          <w:rFonts w:ascii="宋体" w:hAnsi="宋体" w:cs="宋体"/>
          <w:szCs w:val="21"/>
        </w:rPr>
        <w:t>。</w:t>
      </w:r>
      <w:r>
        <w:rPr>
          <w:rFonts w:ascii="宋体" w:hAnsi="宋体" w:cs="宋体" w:hint="eastAsia"/>
          <w:szCs w:val="21"/>
        </w:rPr>
        <w:t>本专业主要学习高聚物化学与物理的基本理论和高分子材料的组成、结构与性能知识及高分子成型加工技术知识。</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ascii="宋体" w:hAnsi="宋体" w:cs="宋体" w:hint="eastAsia"/>
          <w:szCs w:val="21"/>
        </w:rPr>
        <w:t>武汉工程大学</w:t>
      </w:r>
      <w:r>
        <w:rPr>
          <w:rFonts w:ascii="宋体" w:hAnsi="宋体" w:cs="宋体" w:hint="eastAsia"/>
          <w:bCs/>
          <w:kern w:val="0"/>
          <w:szCs w:val="21"/>
        </w:rPr>
        <w:t>材料科学与工程学院</w:t>
      </w:r>
      <w:r>
        <w:rPr>
          <w:rFonts w:ascii="宋体" w:hAnsi="宋体" w:cs="宋体" w:hint="eastAsia"/>
          <w:szCs w:val="21"/>
        </w:rPr>
        <w:t>面向社会开设材料加工工程专业同等学力人员申请硕士学位课程班，用以培养更多的材料加工工程人才。</w:t>
      </w:r>
    </w:p>
    <w:p>
      <w:pPr>
        <w:pStyle w:val="Normal"/>
        <w:widowControl/>
        <w:numPr>
          <w:ilvl w:val="0"/>
          <w:numId w:val="0"/>
        </w:numPr>
        <w:spacing w:lineRule="auto" w:line="360" w:before="100" w:after="100"/>
        <w:contextualSpacing/>
        <w:jc w:val="start"/>
        <w:outlineLvl w:val="2"/>
        <w:rPr>
          <w:rFonts w:ascii="宋体" w:hAnsi="宋体" w:cs="宋体" w:hint="eastAsia"/>
          <w:szCs w:val="21"/>
        </w:rPr>
      </w:pPr>
      <w:r>
        <w:rPr>
          <w:rFonts w:cs="宋体" w:hint="eastAsia" w:ascii="宋体" w:hAnsi="宋体"/>
          <w:szCs w:val="21"/>
        </w:rPr>
      </w:r>
    </w:p>
    <w:p>
      <w:pPr>
        <w:pStyle w:val="Normal"/>
        <w:widowControl/>
        <w:numPr>
          <w:ilvl w:val="0"/>
          <w:numId w:val="0"/>
        </w:numPr>
        <w:spacing w:lineRule="auto" w:line="360" w:before="100" w:after="100"/>
        <w:contextualSpacing/>
        <w:jc w:val="start"/>
        <w:outlineLvl w:val="2"/>
        <w:rPr>
          <w:rFonts w:ascii="宋体" w:hAnsi="宋体" w:cs="宋体" w:hint="eastAsia"/>
          <w:b/>
          <w:bCs/>
          <w:color w:val="0070C0"/>
          <w:kern w:val="0"/>
          <w:szCs w:val="21"/>
        </w:rPr>
      </w:pPr>
      <w:r>
        <w:rPr>
          <w:rFonts w:ascii="宋体" w:hAnsi="宋体" w:cs="宋体"/>
          <w:b/>
          <w:bCs/>
          <w:color w:val="0070C0"/>
          <w:kern w:val="0"/>
          <w:szCs w:val="21"/>
        </w:rPr>
        <w:t>二、培养目标</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ascii="宋体" w:hAnsi="宋体" w:cs="宋体" w:hint="eastAsia"/>
          <w:szCs w:val="21"/>
        </w:rPr>
        <w:t>本专业要求学员通过掌握和学习坚实的理论基础和系统的专门知识，了解本学科的发展动向，具备从事科学研究和解决工程技术实际问题的能力，熟练掌握一门外语，并能熟练地进行专业阅读和初步写作。掌握必要的实验及计算机技术和熟悉现代实验技术，具有独立承担专门技术工作的能力，能胜任科学研究、高等教育工作及工程管理等专门技术工作。培养具有创新意识和创业能力，服务冶金行业和经济建设的应用复合型人才。</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r>
    </w:p>
    <w:p>
      <w:pPr>
        <w:pStyle w:val="Normal"/>
        <w:widowControl/>
        <w:numPr>
          <w:ilvl w:val="0"/>
          <w:numId w:val="0"/>
        </w:numPr>
        <w:spacing w:lineRule="auto" w:line="360" w:before="100" w:after="100"/>
        <w:contextualSpacing/>
        <w:jc w:val="start"/>
        <w:outlineLvl w:val="2"/>
        <w:rPr>
          <w:rFonts w:ascii="宋体" w:hAnsi="宋体" w:cs="宋体" w:hint="eastAsia"/>
          <w:b/>
          <w:color w:val="0070C0"/>
          <w:szCs w:val="21"/>
        </w:rPr>
      </w:pPr>
      <w:r>
        <w:rPr>
          <w:rFonts w:ascii="宋体" w:hAnsi="宋体" w:cs="宋体"/>
          <w:b/>
          <w:color w:val="0070C0"/>
          <w:szCs w:val="21"/>
        </w:rPr>
        <w:t>三、专业优势</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1.</w:t>
      </w:r>
      <w:r>
        <w:rPr>
          <w:rFonts w:ascii="宋体" w:hAnsi="宋体" w:cs="宋体"/>
          <w:szCs w:val="21"/>
        </w:rPr>
        <w:t>【</w:t>
      </w:r>
      <w:r>
        <w:rPr>
          <w:rFonts w:ascii="宋体" w:hAnsi="宋体" w:cs="宋体" w:hint="eastAsia"/>
          <w:szCs w:val="21"/>
        </w:rPr>
        <w:t>技术型</w:t>
      </w:r>
      <w:r>
        <w:rPr>
          <w:rFonts w:ascii="宋体" w:hAnsi="宋体" w:cs="宋体"/>
          <w:szCs w:val="21"/>
        </w:rPr>
        <w:t>学科】</w:t>
      </w:r>
      <w:r>
        <w:rPr>
          <w:rFonts w:ascii="宋体" w:hAnsi="宋体" w:cs="宋体" w:hint="eastAsia"/>
          <w:szCs w:val="21"/>
        </w:rPr>
        <w:t>材料加工工程专业主要发展从事高分子材料制品成型加工、成型设备和模具的设计与制造及高分子新材料研发的高级工程技术人才；</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szCs w:val="21"/>
        </w:rPr>
      </w:pPr>
      <w:r>
        <w:rPr>
          <w:rFonts w:cs="宋体" w:hint="eastAsia" w:ascii="宋体" w:hAnsi="宋体"/>
          <w:szCs w:val="21"/>
        </w:rPr>
        <w:t>2.</w:t>
      </w:r>
      <w:r>
        <w:rPr>
          <w:rFonts w:ascii="宋体" w:hAnsi="宋体" w:cs="宋体" w:hint="eastAsia"/>
          <w:szCs w:val="21"/>
        </w:rPr>
        <w:t>【申硕仅考</w:t>
      </w:r>
      <w:r>
        <w:rPr>
          <w:rFonts w:cs="宋体" w:hint="eastAsia" w:ascii="宋体" w:hAnsi="宋体"/>
          <w:szCs w:val="21"/>
        </w:rPr>
        <w:t>1</w:t>
      </w:r>
      <w:r>
        <w:rPr>
          <w:rFonts w:ascii="宋体" w:hAnsi="宋体" w:cs="宋体" w:hint="eastAsia"/>
          <w:szCs w:val="21"/>
        </w:rPr>
        <w:t>科】学员满足申硕条件参加全国统一同等学力申请硕士学位考试，仅考外语</w:t>
      </w:r>
      <w:r>
        <w:rPr>
          <w:rFonts w:cs="宋体" w:hint="eastAsia" w:ascii="宋体" w:hAnsi="宋体"/>
          <w:szCs w:val="21"/>
        </w:rPr>
        <w:t>1</w:t>
      </w:r>
      <w:r>
        <w:rPr>
          <w:rFonts w:ascii="宋体" w:hAnsi="宋体" w:cs="宋体" w:hint="eastAsia"/>
          <w:szCs w:val="21"/>
        </w:rPr>
        <w:t>科目，百分制六十分及格，难度较低；</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3.</w:t>
      </w:r>
      <w:r>
        <w:rPr>
          <w:rFonts w:ascii="宋体" w:hAnsi="宋体" w:cs="宋体" w:hint="eastAsia"/>
          <w:szCs w:val="21"/>
        </w:rPr>
        <w:t>【</w:t>
      </w:r>
      <w:r>
        <w:rPr>
          <w:rFonts w:ascii="宋体" w:hAnsi="宋体" w:cs="宋体"/>
          <w:szCs w:val="21"/>
        </w:rPr>
        <w:t>学习方式</w:t>
      </w:r>
      <w:r>
        <w:rPr>
          <w:rFonts w:ascii="宋体" w:hAnsi="宋体" w:cs="宋体" w:hint="eastAsia"/>
          <w:szCs w:val="21"/>
        </w:rPr>
        <w:t>灵活】本专业</w:t>
      </w:r>
      <w:r>
        <w:rPr>
          <w:rFonts w:ascii="宋体" w:hAnsi="宋体" w:cs="宋体"/>
          <w:szCs w:val="21"/>
        </w:rPr>
        <w:t>设校本部面授班、异地网络教学班，学员不受时间、地域限制随时可学习，方便灵活</w:t>
      </w:r>
      <w:r>
        <w:rPr>
          <w:rFonts w:ascii="宋体" w:hAnsi="宋体" w:cs="宋体" w:hint="eastAsia"/>
          <w:szCs w:val="21"/>
        </w:rPr>
        <w:t>；</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szCs w:val="21"/>
        </w:rPr>
      </w:pPr>
      <w:r>
        <w:rPr>
          <w:rFonts w:cs="宋体" w:hint="eastAsia" w:ascii="宋体" w:hAnsi="宋体"/>
          <w:szCs w:val="21"/>
        </w:rPr>
        <w:t>4.</w:t>
      </w:r>
      <w:r>
        <w:rPr>
          <w:rFonts w:ascii="宋体" w:hAnsi="宋体" w:cs="宋体"/>
          <w:szCs w:val="21"/>
        </w:rPr>
        <w:t>【可获名校证书】拟申请硕士学位的同等学力人员具备条件后，经学校学位评定委员会批准，授予武汉工程大学硕士学位证书</w:t>
      </w:r>
      <w:r>
        <w:rPr>
          <w:rFonts w:ascii="宋体" w:hAnsi="宋体" w:cs="宋体" w:hint="eastAsia"/>
          <w:szCs w:val="21"/>
        </w:rPr>
        <w:t>。</w:t>
      </w:r>
    </w:p>
    <w:p>
      <w:pPr>
        <w:pStyle w:val="Normal"/>
        <w:widowControl/>
        <w:numPr>
          <w:ilvl w:val="0"/>
          <w:numId w:val="0"/>
        </w:numPr>
        <w:spacing w:lineRule="auto" w:line="360" w:before="100" w:after="100"/>
        <w:ind w:firstLineChars="200" w:startChars="0" w:start="0" w:endChars="0" w:end="0"/>
        <w:contextualSpacing/>
        <w:jc w:val="start"/>
        <w:outlineLvl w:val="2"/>
        <w:rPr>
          <w:rFonts w:ascii="宋体" w:hAnsi="宋体" w:cs="宋体" w:hint="eastAsia"/>
          <w:szCs w:val="21"/>
        </w:rPr>
      </w:pPr>
      <w:r>
        <w:rPr>
          <w:rFonts w:cs="宋体" w:hint="eastAsia" w:ascii="宋体" w:hAnsi="宋体"/>
          <w:szCs w:val="21"/>
        </w:rPr>
        <w:t>5.</w:t>
      </w:r>
      <w:r>
        <w:rPr>
          <w:rFonts w:ascii="宋体" w:hAnsi="宋体" w:cs="宋体" w:hint="eastAsia"/>
          <w:szCs w:val="21"/>
        </w:rPr>
        <w:t>【学知识结人脉】学习期间不定期举行课外活动，学知识结高端校友人脉。</w:t>
      </w:r>
    </w:p>
    <w:p>
      <w:pPr>
        <w:pStyle w:val="Normal"/>
        <w:widowControl/>
        <w:numPr>
          <w:ilvl w:val="0"/>
          <w:numId w:val="0"/>
        </w:numPr>
        <w:spacing w:lineRule="auto" w:line="360" w:before="100" w:after="100"/>
        <w:contextualSpacing/>
        <w:jc w:val="start"/>
        <w:outlineLvl w:val="2"/>
        <w:rPr>
          <w:rFonts w:ascii="宋体" w:hAnsi="宋体" w:cs="宋体" w:hint="eastAsia"/>
          <w:szCs w:val="21"/>
        </w:rPr>
      </w:pPr>
      <w:r>
        <w:rPr>
          <w:rFonts w:cs="宋体" w:hint="eastAsia" w:ascii="宋体" w:hAnsi="宋体"/>
          <w:szCs w:val="21"/>
        </w:rPr>
      </w:r>
    </w:p>
    <w:p>
      <w:pPr>
        <w:pStyle w:val="Normal"/>
        <w:widowControl/>
        <w:numPr>
          <w:ilvl w:val="0"/>
          <w:numId w:val="0"/>
        </w:numPr>
        <w:spacing w:lineRule="auto" w:line="360" w:before="100" w:after="100"/>
        <w:contextualSpacing/>
        <w:jc w:val="start"/>
        <w:outlineLvl w:val="2"/>
        <w:rPr>
          <w:rFonts w:ascii="宋体" w:hAnsi="宋体" w:cs="宋体" w:hint="eastAsia"/>
          <w:b/>
          <w:color w:val="0070C0"/>
          <w:szCs w:val="21"/>
        </w:rPr>
      </w:pPr>
      <w:r>
        <w:rPr>
          <w:rFonts w:ascii="宋体" w:hAnsi="宋体" w:cs="宋体" w:hint="eastAsia"/>
          <w:b/>
          <w:color w:val="0070C0"/>
          <w:szCs w:val="21"/>
        </w:rPr>
        <w:t>四、课程设置</w:t>
      </w:r>
    </w:p>
    <w:tbl>
      <w:tblPr>
        <w:tblW w:w="8399" w:type="dxa"/>
        <w:jc w:val="start"/>
        <w:tblInd w:w="0" w:type="dxa"/>
        <w:tblLayout w:type="fixed"/>
        <w:tblCellMar>
          <w:top w:w="0" w:type="dxa"/>
          <w:start w:w="108" w:type="dxa"/>
          <w:bottom w:w="0" w:type="dxa"/>
          <w:end w:w="108" w:type="dxa"/>
        </w:tblCellMar>
      </w:tblPr>
      <w:tblGrid>
        <w:gridCol w:w="2089"/>
        <w:gridCol w:w="2580"/>
        <w:gridCol w:w="3724"/>
        <w:gridCol w:w="6"/>
      </w:tblGrid>
      <w:tr>
        <w:trPr>
          <w:trHeight w:val="513" w:hRule="atLeast"/>
        </w:trPr>
        <w:tc>
          <w:tcPr>
            <w:tcW w:w="8399" w:type="dxa"/>
            <w:gridSpan w:val="3"/>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b/>
                <w:bCs/>
                <w:sz w:val="24"/>
                <w:szCs w:val="24"/>
              </w:rPr>
              <w:t>材料加工工程专业课程设置</w:t>
            </w:r>
          </w:p>
        </w:tc>
      </w:tr>
      <w:tr>
        <w:trPr>
          <w:trHeight w:val="660" w:hRule="atLeast"/>
        </w:trPr>
        <w:tc>
          <w:tcPr>
            <w:tcW w:w="208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综合英语</w:t>
            </w:r>
          </w:p>
        </w:tc>
        <w:tc>
          <w:tcPr>
            <w:tcW w:w="25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工程伦理</w:t>
            </w:r>
          </w:p>
        </w:tc>
        <w:tc>
          <w:tcPr>
            <w:tcW w:w="373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中国特色社会主义理论与实践研究</w:t>
            </w:r>
          </w:p>
        </w:tc>
      </w:tr>
      <w:tr>
        <w:trPr>
          <w:trHeight w:val="530" w:hRule="atLeast"/>
        </w:trPr>
        <w:tc>
          <w:tcPr>
            <w:tcW w:w="208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高等工程数学</w:t>
            </w:r>
          </w:p>
        </w:tc>
        <w:tc>
          <w:tcPr>
            <w:tcW w:w="25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自然辩证法概论</w:t>
            </w:r>
          </w:p>
        </w:tc>
        <w:tc>
          <w:tcPr>
            <w:tcW w:w="37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研究方法与论文写作</w:t>
            </w:r>
          </w:p>
        </w:tc>
      </w:tr>
      <w:tr>
        <w:trPr>
          <w:trHeight w:val="530" w:hRule="atLeast"/>
        </w:trPr>
        <w:tc>
          <w:tcPr>
            <w:tcW w:w="208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聚合方法</w:t>
            </w:r>
          </w:p>
        </w:tc>
        <w:tc>
          <w:tcPr>
            <w:tcW w:w="25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高分子物理</w:t>
            </w:r>
          </w:p>
        </w:tc>
        <w:tc>
          <w:tcPr>
            <w:tcW w:w="37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材料近代研究方法</w:t>
            </w:r>
          </w:p>
        </w:tc>
      </w:tr>
      <w:tr>
        <w:trPr>
          <w:trHeight w:val="530" w:hRule="atLeast"/>
        </w:trPr>
        <w:tc>
          <w:tcPr>
            <w:tcW w:w="208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复合材料</w:t>
            </w:r>
          </w:p>
        </w:tc>
        <w:tc>
          <w:tcPr>
            <w:tcW w:w="25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材料结构与性能</w:t>
            </w:r>
          </w:p>
        </w:tc>
        <w:tc>
          <w:tcPr>
            <w:tcW w:w="37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szCs w:val="21"/>
              </w:rPr>
            </w:pPr>
            <w:r>
              <w:rPr>
                <w:rFonts w:ascii="宋体" w:hAnsi="宋体" w:cs="宋体" w:hint="eastAsia"/>
                <w:szCs w:val="21"/>
              </w:rPr>
              <w:t>工业等离子体原理与应用</w:t>
            </w:r>
          </w:p>
        </w:tc>
      </w:tr>
      <w:tr>
        <w:trPr>
          <w:trHeight w:val="530" w:hRule="atLeast"/>
        </w:trPr>
        <w:tc>
          <w:tcPr>
            <w:tcW w:w="208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陶瓷工艺学</w:t>
            </w:r>
          </w:p>
        </w:tc>
        <w:tc>
          <w:tcPr>
            <w:tcW w:w="25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矿物材料</w:t>
            </w:r>
          </w:p>
        </w:tc>
        <w:tc>
          <w:tcPr>
            <w:tcW w:w="37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材料研究与分析方法</w:t>
            </w:r>
          </w:p>
        </w:tc>
      </w:tr>
      <w:tr>
        <w:trPr>
          <w:trHeight w:val="530" w:hRule="atLeast"/>
        </w:trPr>
        <w:tc>
          <w:tcPr>
            <w:tcW w:w="2089"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材料工程前沿</w:t>
            </w:r>
          </w:p>
        </w:tc>
        <w:tc>
          <w:tcPr>
            <w:tcW w:w="2580"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pacing w:lineRule="auto" w:line="360" w:before="0" w:after="0"/>
              <w:jc w:val="center"/>
              <w:outlineLvl w:val="2"/>
              <w:rPr>
                <w:rFonts w:ascii="宋体" w:hAnsi="宋体" w:cs="宋体" w:hint="eastAsia"/>
                <w:szCs w:val="21"/>
              </w:rPr>
            </w:pPr>
            <w:r>
              <w:rPr>
                <w:rFonts w:ascii="宋体" w:hAnsi="宋体" w:cs="宋体" w:hint="eastAsia"/>
                <w:szCs w:val="21"/>
              </w:rPr>
              <w:t>材料合成与制备技术</w:t>
            </w:r>
          </w:p>
        </w:tc>
        <w:tc>
          <w:tcPr>
            <w:tcW w:w="372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snapToGrid w:val="false"/>
              <w:spacing w:lineRule="auto" w:line="360" w:before="0" w:after="0"/>
              <w:jc w:val="center"/>
              <w:outlineLvl w:val="2"/>
              <w:rPr>
                <w:rFonts w:ascii="宋体" w:hAnsi="宋体" w:cs="宋体" w:hint="eastAsia"/>
                <w:szCs w:val="21"/>
              </w:rPr>
            </w:pPr>
            <w:r>
              <w:rPr>
                <w:rFonts w:cs="宋体" w:hint="eastAsia" w:ascii="宋体" w:hAnsi="宋体"/>
                <w:szCs w:val="21"/>
              </w:rPr>
            </w:r>
          </w:p>
        </w:tc>
      </w:tr>
    </w:tbl>
    <w:p>
      <w:pPr>
        <w:pStyle w:val="Style18"/>
        <w:snapToGrid w:val="false"/>
        <w:spacing w:lineRule="auto" w:line="360" w:before="100" w:after="100"/>
        <w:ind w:firstLineChars="1300" w:startChars="0" w:start="0" w:endChars="0" w:end="0"/>
        <w:contextualSpacing/>
        <w:rPr>
          <w:rFonts w:hint="eastAsia"/>
          <w:sz w:val="21"/>
          <w:szCs w:val="21"/>
        </w:rPr>
      </w:pPr>
      <w:r>
        <w:rPr>
          <w:rFonts w:hint="eastAsia"/>
          <w:sz w:val="21"/>
          <w:szCs w:val="21"/>
        </w:rPr>
      </w:r>
    </w:p>
    <w:p>
      <w:pPr>
        <w:pStyle w:val="Style18"/>
        <w:snapToGrid w:val="false"/>
        <w:spacing w:lineRule="auto" w:line="360" w:before="100" w:after="100"/>
        <w:ind w:firstLineChars="1300" w:startChars="0" w:start="0" w:endChars="0" w:end="0"/>
        <w:contextualSpacing/>
        <w:rPr>
          <w:rFonts w:hint="eastAsia"/>
          <w:sz w:val="21"/>
          <w:szCs w:val="21"/>
        </w:rPr>
      </w:pPr>
      <w:r>
        <w:rPr>
          <w:rFonts w:hint="eastAsia"/>
          <w:sz w:val="21"/>
          <w:szCs w:val="21"/>
        </w:rPr>
        <w:t>注：部分课程教学参照实际</w:t>
      </w:r>
    </w:p>
    <w:p>
      <w:pPr>
        <w:pStyle w:val="Style18"/>
        <w:snapToGrid w:val="false"/>
        <w:spacing w:lineRule="auto" w:line="360" w:before="100" w:after="100"/>
        <w:contextualSpacing/>
        <w:rPr>
          <w:rFonts w:hint="eastAsia"/>
          <w:sz w:val="21"/>
          <w:szCs w:val="21"/>
        </w:rPr>
      </w:pPr>
      <w:r>
        <w:rPr>
          <w:rFonts w:hint="eastAsia"/>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五</w:t>
      </w:r>
      <w:r>
        <w:rPr>
          <w:b/>
          <w:color w:val="0070C0"/>
          <w:sz w:val="21"/>
          <w:szCs w:val="21"/>
        </w:rPr>
        <w:t>、报考条件</w:t>
      </w:r>
    </w:p>
    <w:p>
      <w:pPr>
        <w:pStyle w:val="Style18"/>
        <w:snapToGrid w:val="false"/>
        <w:spacing w:lineRule="auto" w:line="360" w:before="100" w:after="100"/>
        <w:ind w:firstLineChars="100" w:startChars="0" w:start="0" w:endChars="0" w:end="0"/>
        <w:contextualSpacing/>
        <w:rPr>
          <w:sz w:val="21"/>
          <w:szCs w:val="21"/>
        </w:rPr>
      </w:pPr>
      <w:r>
        <w:rPr>
          <w:sz w:val="21"/>
          <w:szCs w:val="21"/>
        </w:rPr>
        <w:t>　</w:t>
      </w:r>
      <w:r>
        <w:rPr>
          <w:sz w:val="21"/>
          <w:szCs w:val="21"/>
        </w:rPr>
        <w:t>1</w:t>
      </w:r>
      <w:r>
        <w:rPr>
          <w:rFonts w:hint="eastAsia"/>
          <w:sz w:val="21"/>
          <w:szCs w:val="21"/>
        </w:rPr>
        <w:t>.</w:t>
      </w:r>
      <w:r>
        <w:rPr>
          <w:sz w:val="21"/>
          <w:szCs w:val="21"/>
        </w:rPr>
        <w:t>遵纪守法，品行端正，在教学</w:t>
      </w:r>
      <w:r>
        <w:rPr>
          <w:rFonts w:hint="eastAsia"/>
          <w:sz w:val="21"/>
          <w:szCs w:val="21"/>
        </w:rPr>
        <w:t>、</w:t>
      </w:r>
      <w:r>
        <w:rPr>
          <w:sz w:val="21"/>
          <w:szCs w:val="21"/>
        </w:rPr>
        <w:t>科研、专门技术、管理等方面做出成绩的在职人员</w:t>
      </w:r>
      <w:r>
        <w:rPr>
          <w:rFonts w:hint="eastAsia"/>
          <w:sz w:val="21"/>
          <w:szCs w:val="21"/>
        </w:rPr>
        <w:t>；</w:t>
      </w:r>
    </w:p>
    <w:p>
      <w:pPr>
        <w:pStyle w:val="Style18"/>
        <w:snapToGrid w:val="false"/>
        <w:spacing w:lineRule="auto" w:line="360" w:before="100" w:after="100"/>
        <w:contextualSpacing/>
        <w:rPr>
          <w:sz w:val="21"/>
          <w:szCs w:val="21"/>
        </w:rPr>
      </w:pPr>
      <w:r>
        <w:rPr>
          <w:sz w:val="21"/>
          <w:szCs w:val="21"/>
        </w:rPr>
        <w:t>　</w:t>
      </w:r>
      <w:r>
        <w:rPr>
          <w:rFonts w:hint="eastAsia"/>
          <w:sz w:val="21"/>
          <w:szCs w:val="21"/>
        </w:rPr>
        <w:t xml:space="preserve"> </w:t>
      </w:r>
      <w:r>
        <w:rPr>
          <w:sz w:val="21"/>
          <w:szCs w:val="21"/>
        </w:rPr>
        <w:t>2</w:t>
      </w:r>
      <w:r>
        <w:rPr>
          <w:rFonts w:hint="eastAsia"/>
          <w:sz w:val="21"/>
          <w:szCs w:val="21"/>
        </w:rPr>
        <w:t>.</w:t>
      </w:r>
      <w:r>
        <w:rPr>
          <w:rFonts w:hint="eastAsia"/>
          <w:sz w:val="21"/>
          <w:szCs w:val="21"/>
        </w:rPr>
        <w:t>报读专业与前置专业相仿，</w:t>
      </w:r>
      <w:r>
        <w:rPr>
          <w:sz w:val="21"/>
          <w:szCs w:val="21"/>
        </w:rPr>
        <w:t>已获得学士学位，并在获得学士学位后工作三年以上，或虽无学士学位但已获得硕士或博士学位。对已获得学士、硕士或博士学位为国</w:t>
      </w:r>
      <w:r>
        <w:rPr>
          <w:sz w:val="21"/>
          <w:szCs w:val="21"/>
        </w:rPr>
        <w:t>(</w:t>
      </w:r>
      <w:r>
        <w:rPr>
          <w:sz w:val="21"/>
          <w:szCs w:val="21"/>
        </w:rPr>
        <w:t>境</w:t>
      </w:r>
      <w:r>
        <w:rPr>
          <w:sz w:val="21"/>
          <w:szCs w:val="21"/>
        </w:rPr>
        <w:t>)</w:t>
      </w:r>
      <w:r>
        <w:rPr>
          <w:sz w:val="21"/>
          <w:szCs w:val="21"/>
        </w:rPr>
        <w:t>外学位的，其所获的国</w:t>
      </w:r>
      <w:r>
        <w:rPr>
          <w:sz w:val="21"/>
          <w:szCs w:val="21"/>
        </w:rPr>
        <w:t>(</w:t>
      </w:r>
      <w:r>
        <w:rPr>
          <w:sz w:val="21"/>
          <w:szCs w:val="21"/>
        </w:rPr>
        <w:t>境</w:t>
      </w:r>
      <w:r>
        <w:rPr>
          <w:sz w:val="21"/>
          <w:szCs w:val="21"/>
        </w:rPr>
        <w:t>)</w:t>
      </w:r>
      <w:r>
        <w:rPr>
          <w:sz w:val="21"/>
          <w:szCs w:val="21"/>
        </w:rPr>
        <w:t>外学位需经教育部留学服务中心认证</w:t>
      </w:r>
      <w:r>
        <w:rPr>
          <w:rFonts w:hint="eastAsia"/>
          <w:sz w:val="21"/>
          <w:szCs w:val="21"/>
        </w:rPr>
        <w:t>；</w:t>
      </w:r>
    </w:p>
    <w:p>
      <w:pPr>
        <w:pStyle w:val="Style18"/>
        <w:snapToGrid w:val="false"/>
        <w:spacing w:lineRule="auto" w:line="360" w:before="100" w:after="100"/>
        <w:contextualSpacing/>
        <w:rPr>
          <w:sz w:val="21"/>
          <w:szCs w:val="21"/>
        </w:rPr>
      </w:pPr>
      <w:r>
        <w:rPr>
          <w:rFonts w:hint="eastAsia"/>
          <w:sz w:val="21"/>
          <w:szCs w:val="21"/>
        </w:rPr>
        <w:t xml:space="preserve">   </w:t>
      </w:r>
      <w:r>
        <w:rPr>
          <w:rFonts w:hint="eastAsia"/>
          <w:sz w:val="21"/>
          <w:szCs w:val="21"/>
        </w:rPr>
        <w:t>3.</w:t>
      </w:r>
      <w:r>
        <w:rPr>
          <w:sz w:val="21"/>
          <w:szCs w:val="21"/>
        </w:rPr>
        <w:t>大专学历和本科学历无学士学位者，可参加研修班课程学习。</w:t>
      </w:r>
    </w:p>
    <w:p>
      <w:pPr>
        <w:pStyle w:val="Style18"/>
        <w:snapToGrid w:val="false"/>
        <w:spacing w:lineRule="auto" w:line="360" w:before="100" w:after="100"/>
        <w:contextualSpacing/>
        <w:rPr>
          <w:sz w:val="21"/>
          <w:szCs w:val="21"/>
        </w:rPr>
      </w:pPr>
      <w:r>
        <w:rPr>
          <w:sz w:val="21"/>
          <w:szCs w:val="21"/>
        </w:rPr>
      </w:r>
    </w:p>
    <w:p>
      <w:pPr>
        <w:pStyle w:val="Style18"/>
        <w:snapToGrid w:val="false"/>
        <w:spacing w:lineRule="auto" w:line="360" w:before="100" w:after="100"/>
        <w:contextualSpacing/>
        <w:rPr>
          <w:rFonts w:hint="eastAsia"/>
          <w:b/>
          <w:color w:val="0070C0"/>
          <w:sz w:val="21"/>
          <w:szCs w:val="21"/>
        </w:rPr>
      </w:pPr>
      <w:r>
        <w:rPr>
          <w:rFonts w:hint="eastAsia"/>
          <w:b/>
          <w:color w:val="0070C0"/>
          <w:sz w:val="21"/>
          <w:szCs w:val="21"/>
        </w:rPr>
        <w:t>六</w:t>
      </w:r>
      <w:r>
        <w:rPr>
          <w:b/>
          <w:color w:val="0070C0"/>
          <w:sz w:val="21"/>
          <w:szCs w:val="21"/>
        </w:rPr>
        <w:t>、报名材料</w:t>
      </w:r>
    </w:p>
    <w:p>
      <w:pPr>
        <w:pStyle w:val="Style18"/>
        <w:snapToGrid w:val="false"/>
        <w:spacing w:lineRule="auto" w:line="360" w:before="100" w:after="100"/>
        <w:ind w:firstLineChars="200" w:startChars="0" w:start="0" w:endChars="0" w:end="0"/>
        <w:contextualSpacing/>
        <w:rPr>
          <w:sz w:val="21"/>
          <w:szCs w:val="21"/>
        </w:rPr>
      </w:pPr>
      <w:r>
        <w:rPr>
          <w:sz w:val="21"/>
          <w:szCs w:val="21"/>
        </w:rPr>
        <w:t>1.</w:t>
      </w:r>
      <w:r>
        <w:rPr>
          <w:sz w:val="21"/>
          <w:szCs w:val="21"/>
        </w:rPr>
        <w:t>填写《武汉工程</w:t>
      </w:r>
      <w:r>
        <w:rPr>
          <w:rFonts w:hint="eastAsia"/>
          <w:sz w:val="21"/>
          <w:szCs w:val="21"/>
        </w:rPr>
        <w:t>大学</w:t>
      </w:r>
      <w:r>
        <w:rPr>
          <w:sz w:val="21"/>
          <w:szCs w:val="21"/>
        </w:rPr>
        <w:t>同等学力申请硕士学位课程培养报名表》；</w:t>
      </w:r>
    </w:p>
    <w:p>
      <w:pPr>
        <w:pStyle w:val="Style18"/>
        <w:snapToGrid w:val="false"/>
        <w:spacing w:lineRule="auto" w:line="360" w:before="100" w:after="100"/>
        <w:ind w:firstLineChars="200" w:startChars="0" w:start="0" w:endChars="0" w:end="0"/>
        <w:contextualSpacing/>
        <w:rPr>
          <w:sz w:val="21"/>
          <w:szCs w:val="21"/>
        </w:rPr>
      </w:pPr>
      <w:r>
        <w:rPr>
          <w:sz w:val="21"/>
          <w:szCs w:val="21"/>
        </w:rPr>
        <w:t xml:space="preserve">2. </w:t>
      </w:r>
      <w:r>
        <w:rPr>
          <w:sz w:val="21"/>
          <w:szCs w:val="21"/>
        </w:rPr>
        <w:t>本科毕业证和学士学位证原件扫描件；</w:t>
      </w:r>
    </w:p>
    <w:p>
      <w:pPr>
        <w:pStyle w:val="Style18"/>
        <w:snapToGrid w:val="false"/>
        <w:spacing w:lineRule="auto" w:line="360" w:before="100" w:after="100"/>
        <w:ind w:firstLineChars="200" w:startChars="0" w:start="0" w:endChars="0" w:end="0"/>
        <w:contextualSpacing/>
        <w:rPr>
          <w:sz w:val="21"/>
          <w:szCs w:val="21"/>
        </w:rPr>
      </w:pPr>
      <w:r>
        <w:rPr>
          <w:sz w:val="21"/>
          <w:szCs w:val="21"/>
        </w:rPr>
        <w:t xml:space="preserve">3. </w:t>
      </w:r>
      <w:r>
        <w:rPr>
          <w:sz w:val="21"/>
          <w:szCs w:val="21"/>
        </w:rPr>
        <w:t>身份证原件及正反面扫描件；</w:t>
      </w:r>
    </w:p>
    <w:p>
      <w:pPr>
        <w:pStyle w:val="Style18"/>
        <w:snapToGrid w:val="false"/>
        <w:spacing w:lineRule="auto" w:line="360" w:before="100" w:after="100"/>
        <w:ind w:firstLineChars="200" w:startChars="0" w:start="0" w:endChars="0" w:end="0"/>
        <w:contextualSpacing/>
        <w:rPr>
          <w:b/>
          <w:sz w:val="21"/>
          <w:szCs w:val="21"/>
        </w:rPr>
      </w:pPr>
      <w:r>
        <w:rPr>
          <w:sz w:val="21"/>
          <w:szCs w:val="21"/>
        </w:rPr>
        <w:t>4.</w:t>
      </w:r>
      <w:r>
        <w:rPr>
          <w:sz w:val="21"/>
          <w:szCs w:val="21"/>
        </w:rPr>
        <w:t>近期正面蓝底两寸数码彩照。</w:t>
      </w:r>
    </w:p>
    <w:p>
      <w:pPr>
        <w:pStyle w:val="Style18"/>
        <w:snapToGrid w:val="false"/>
        <w:spacing w:lineRule="auto" w:line="360" w:before="100" w:after="100"/>
        <w:contextualSpacing/>
        <w:rPr>
          <w:rFonts w:hint="eastAsia"/>
          <w:b/>
          <w:sz w:val="21"/>
          <w:szCs w:val="21"/>
        </w:rPr>
      </w:pPr>
      <w:r>
        <w:rPr>
          <w:rFonts w:hint="eastAsia"/>
          <w:b/>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七</w:t>
      </w:r>
      <w:r>
        <w:rPr>
          <w:b/>
          <w:color w:val="0070C0"/>
          <w:sz w:val="21"/>
          <w:szCs w:val="21"/>
        </w:rPr>
        <w:t>、培养方式</w:t>
      </w:r>
    </w:p>
    <w:p>
      <w:pPr>
        <w:pStyle w:val="Style18"/>
        <w:snapToGrid w:val="false"/>
        <w:spacing w:lineRule="auto" w:line="360" w:before="100" w:after="100"/>
        <w:contextualSpacing/>
        <w:rPr>
          <w:sz w:val="21"/>
          <w:szCs w:val="21"/>
        </w:rPr>
      </w:pPr>
      <w:r>
        <w:rPr>
          <w:sz w:val="21"/>
          <w:szCs w:val="21"/>
        </w:rPr>
        <w:t>　　</w:t>
      </w:r>
      <w:r>
        <w:rPr>
          <w:rFonts w:hint="eastAsia"/>
          <w:sz w:val="21"/>
          <w:szCs w:val="21"/>
        </w:rPr>
        <w:t>1.</w:t>
      </w:r>
      <w:r>
        <w:rPr>
          <w:sz w:val="21"/>
          <w:szCs w:val="21"/>
        </w:rPr>
        <w:t>学制：</w:t>
      </w:r>
      <w:r>
        <w:rPr>
          <w:rFonts w:hint="eastAsia"/>
          <w:sz w:val="21"/>
          <w:szCs w:val="21"/>
        </w:rPr>
        <w:t>1-1.5</w:t>
      </w:r>
      <w:r>
        <w:rPr>
          <w:rFonts w:hint="eastAsia"/>
          <w:sz w:val="21"/>
          <w:szCs w:val="21"/>
        </w:rPr>
        <w:t>年</w:t>
      </w:r>
      <w:r>
        <w:rPr>
          <w:sz w:val="21"/>
          <w:szCs w:val="21"/>
        </w:rPr>
        <w:t>；</w:t>
      </w:r>
    </w:p>
    <w:p>
      <w:pPr>
        <w:pStyle w:val="Style18"/>
        <w:snapToGrid w:val="false"/>
        <w:spacing w:lineRule="auto" w:line="360" w:before="100" w:after="100"/>
        <w:ind w:firstLineChars="200" w:startChars="0" w:start="0" w:endChars="0" w:end="0"/>
        <w:contextualSpacing/>
        <w:rPr>
          <w:sz w:val="21"/>
          <w:szCs w:val="21"/>
        </w:rPr>
      </w:pPr>
      <w:r>
        <w:rPr>
          <w:sz w:val="21"/>
          <w:szCs w:val="21"/>
        </w:rPr>
        <w:t>2</w:t>
      </w:r>
      <w:r>
        <w:rPr>
          <w:rFonts w:hint="eastAsia"/>
          <w:sz w:val="21"/>
          <w:szCs w:val="21"/>
        </w:rPr>
        <w:t>.</w:t>
      </w:r>
      <w:r>
        <w:rPr>
          <w:rFonts w:hint="eastAsia"/>
          <w:sz w:val="21"/>
          <w:szCs w:val="21"/>
        </w:rPr>
        <w:t>面</w:t>
      </w:r>
      <w:r>
        <w:rPr>
          <w:sz w:val="21"/>
          <w:szCs w:val="21"/>
        </w:rPr>
        <w:t>授课：双休日授课，由武汉工程大学硕士生导师和博士生导师面授</w:t>
      </w:r>
      <w:r>
        <w:rPr>
          <w:rFonts w:hint="eastAsia"/>
          <w:sz w:val="21"/>
          <w:szCs w:val="21"/>
        </w:rPr>
        <w:t>；</w:t>
      </w:r>
    </w:p>
    <w:p>
      <w:pPr>
        <w:pStyle w:val="Style18"/>
        <w:snapToGrid w:val="false"/>
        <w:spacing w:lineRule="auto" w:line="360" w:before="100" w:after="100"/>
        <w:ind w:firstLineChars="200" w:startChars="0" w:start="0" w:endChars="0" w:end="0"/>
        <w:contextualSpacing/>
        <w:rPr>
          <w:sz w:val="21"/>
          <w:szCs w:val="21"/>
        </w:rPr>
      </w:pPr>
      <w:r>
        <w:rPr>
          <w:sz w:val="21"/>
          <w:szCs w:val="21"/>
        </w:rPr>
        <w:t>3</w:t>
      </w:r>
      <w:r>
        <w:rPr>
          <w:rFonts w:hint="eastAsia"/>
          <w:sz w:val="21"/>
          <w:szCs w:val="21"/>
        </w:rPr>
        <w:t>.</w:t>
      </w:r>
      <w:r>
        <w:rPr>
          <w:rFonts w:hint="eastAsia"/>
          <w:sz w:val="21"/>
          <w:szCs w:val="21"/>
        </w:rPr>
        <w:t>网络课：异地学员</w:t>
      </w:r>
      <w:r>
        <w:rPr>
          <w:sz w:val="21"/>
          <w:szCs w:val="21"/>
        </w:rPr>
        <w:t>可进行网络课程学习，</w:t>
      </w:r>
      <w:r>
        <w:rPr>
          <w:rFonts w:hint="eastAsia"/>
          <w:sz w:val="21"/>
          <w:szCs w:val="21"/>
        </w:rPr>
        <w:t>不受</w:t>
      </w:r>
      <w:r>
        <w:rPr>
          <w:sz w:val="21"/>
          <w:szCs w:val="21"/>
        </w:rPr>
        <w:t>时间</w:t>
      </w:r>
      <w:r>
        <w:rPr>
          <w:rFonts w:hint="eastAsia"/>
          <w:sz w:val="21"/>
          <w:szCs w:val="21"/>
        </w:rPr>
        <w:t>、</w:t>
      </w:r>
      <w:r>
        <w:rPr>
          <w:sz w:val="21"/>
          <w:szCs w:val="21"/>
        </w:rPr>
        <w:t>地址限制。</w:t>
      </w:r>
    </w:p>
    <w:p>
      <w:pPr>
        <w:pStyle w:val="Style18"/>
        <w:snapToGrid w:val="false"/>
        <w:spacing w:lineRule="auto" w:line="360" w:before="100" w:after="100"/>
        <w:contextualSpacing/>
        <w:rPr>
          <w:b/>
          <w:sz w:val="21"/>
          <w:szCs w:val="21"/>
        </w:rPr>
      </w:pPr>
      <w:r>
        <w:rPr>
          <w:b/>
          <w:sz w:val="21"/>
          <w:szCs w:val="21"/>
        </w:rPr>
      </w:r>
    </w:p>
    <w:p>
      <w:pPr>
        <w:pStyle w:val="Style18"/>
        <w:numPr>
          <w:ilvl w:val="0"/>
          <w:numId w:val="2"/>
        </w:numPr>
        <w:snapToGrid w:val="false"/>
        <w:spacing w:lineRule="auto" w:line="360" w:before="100" w:after="280"/>
        <w:rPr>
          <w:b/>
          <w:color w:val="0070C0"/>
          <w:sz w:val="21"/>
          <w:szCs w:val="21"/>
        </w:rPr>
      </w:pPr>
      <w:r>
        <w:rPr>
          <w:rFonts w:hint="eastAsia"/>
          <w:b/>
          <w:color w:val="0070C0"/>
          <w:sz w:val="21"/>
          <w:szCs w:val="21"/>
        </w:rPr>
        <w:t>收费标准</w:t>
      </w:r>
    </w:p>
    <w:p>
      <w:pPr>
        <w:pStyle w:val="Style18"/>
        <w:snapToGrid w:val="false"/>
        <w:spacing w:lineRule="auto" w:line="360" w:before="100" w:after="100"/>
        <w:ind w:firstLineChars="200" w:startChars="0" w:start="0" w:endChars="0" w:end="0"/>
        <w:contextualSpacing/>
        <w:rPr>
          <w:rFonts w:hint="eastAsia"/>
          <w:color w:val="000000"/>
          <w:sz w:val="21"/>
          <w:szCs w:val="21"/>
        </w:rPr>
      </w:pPr>
      <w:r>
        <w:rPr>
          <w:rFonts w:hint="eastAsia"/>
          <w:color w:val="000000"/>
          <w:sz w:val="21"/>
          <w:szCs w:val="21"/>
        </w:rPr>
        <w:t>学费</w:t>
      </w:r>
      <w:r>
        <w:rPr>
          <w:rFonts w:hint="eastAsia"/>
          <w:color w:val="000000"/>
          <w:sz w:val="21"/>
          <w:szCs w:val="21"/>
        </w:rPr>
        <w:t>20000</w:t>
      </w:r>
      <w:r>
        <w:rPr>
          <w:rFonts w:hint="eastAsia"/>
          <w:color w:val="000000"/>
          <w:sz w:val="21"/>
          <w:szCs w:val="21"/>
        </w:rPr>
        <w:t>，论文答辩费</w:t>
      </w:r>
      <w:r>
        <w:rPr>
          <w:rFonts w:hint="eastAsia"/>
          <w:color w:val="000000"/>
          <w:sz w:val="21"/>
          <w:szCs w:val="21"/>
        </w:rPr>
        <w:t>12000</w:t>
      </w:r>
    </w:p>
    <w:p>
      <w:pPr>
        <w:pStyle w:val="Style18"/>
        <w:snapToGrid w:val="false"/>
        <w:spacing w:lineRule="auto" w:line="360" w:before="100" w:after="100"/>
        <w:ind w:firstLineChars="200" w:startChars="0" w:start="0" w:endChars="0" w:end="0"/>
        <w:contextualSpacing/>
        <w:rPr>
          <w:color w:val="FF0000"/>
          <w:sz w:val="21"/>
          <w:szCs w:val="21"/>
        </w:rPr>
      </w:pPr>
      <w:r>
        <w:rPr>
          <w:color w:val="FF0000"/>
          <w:sz w:val="21"/>
          <w:szCs w:val="21"/>
        </w:rPr>
      </w:r>
    </w:p>
    <w:p>
      <w:pPr>
        <w:pStyle w:val="Style18"/>
        <w:snapToGrid w:val="false"/>
        <w:spacing w:lineRule="auto" w:line="360" w:before="100" w:after="100"/>
        <w:contextualSpacing/>
        <w:rPr>
          <w:b/>
          <w:color w:val="0070C0"/>
          <w:sz w:val="21"/>
          <w:szCs w:val="21"/>
        </w:rPr>
      </w:pPr>
      <w:r>
        <w:rPr>
          <w:rFonts w:hint="eastAsia"/>
          <w:b/>
          <w:color w:val="0070C0"/>
          <w:sz w:val="21"/>
          <w:szCs w:val="21"/>
        </w:rPr>
        <w:t>九</w:t>
      </w:r>
      <w:r>
        <w:rPr>
          <w:b/>
          <w:color w:val="0070C0"/>
          <w:sz w:val="21"/>
          <w:szCs w:val="21"/>
        </w:rPr>
        <w:t>、</w:t>
      </w:r>
      <w:r>
        <w:rPr>
          <w:rFonts w:hint="eastAsia"/>
          <w:b/>
          <w:color w:val="0070C0"/>
          <w:sz w:val="21"/>
          <w:szCs w:val="21"/>
        </w:rPr>
        <w:t>获取证书</w:t>
      </w:r>
    </w:p>
    <w:p>
      <w:pPr>
        <w:pStyle w:val="Style18"/>
        <w:snapToGrid w:val="false"/>
        <w:spacing w:lineRule="auto" w:line="360" w:before="100" w:after="100"/>
        <w:ind w:firstLineChars="200" w:startChars="0" w:start="0" w:endChars="0" w:end="0"/>
        <w:contextualSpacing/>
        <w:rPr>
          <w:sz w:val="21"/>
          <w:szCs w:val="21"/>
        </w:rPr>
      </w:pPr>
      <w:r>
        <w:rPr>
          <w:sz w:val="21"/>
          <w:szCs w:val="21"/>
        </w:rPr>
        <w:t>1.</w:t>
      </w:r>
      <w:r>
        <w:rPr>
          <w:sz w:val="21"/>
          <w:szCs w:val="21"/>
        </w:rPr>
        <w:t>通过学校组织的学位课程考试，成绩合格者，可通过所在学院向研究生院申请领取《武汉工程大学同等学力人员申请硕士学位成绩合格证》</w:t>
      </w:r>
      <w:r>
        <w:rPr>
          <w:rFonts w:hint="eastAsia"/>
          <w:sz w:val="21"/>
          <w:szCs w:val="21"/>
        </w:rPr>
        <w:t>；</w:t>
      </w:r>
    </w:p>
    <w:p>
      <w:pPr>
        <w:pStyle w:val="Style18"/>
        <w:snapToGrid w:val="false"/>
        <w:spacing w:lineRule="auto" w:line="360" w:before="100" w:after="100"/>
        <w:ind w:firstLine="420" w:end="0"/>
        <w:contextualSpacing/>
        <w:rPr>
          <w:sz w:val="21"/>
          <w:szCs w:val="21"/>
        </w:rPr>
      </w:pPr>
      <w:r>
        <w:rPr>
          <w:sz w:val="21"/>
          <w:szCs w:val="21"/>
        </w:rPr>
        <w:t>2.</w:t>
      </w:r>
      <w:r>
        <w:rPr>
          <w:rFonts w:hint="eastAsia"/>
          <w:sz w:val="21"/>
          <w:szCs w:val="21"/>
        </w:rPr>
        <w:t>学员满足条件</w:t>
      </w:r>
      <w:r>
        <w:rPr>
          <w:sz w:val="21"/>
          <w:szCs w:val="21"/>
        </w:rPr>
        <w:t>参加</w:t>
      </w:r>
      <w:r>
        <w:rPr>
          <w:rFonts w:hint="eastAsia"/>
          <w:sz w:val="21"/>
          <w:szCs w:val="21"/>
        </w:rPr>
        <w:t>申硕</w:t>
      </w:r>
      <w:r>
        <w:rPr>
          <w:sz w:val="21"/>
          <w:szCs w:val="21"/>
        </w:rPr>
        <w:t>考试成绩合格并通过硕士学位论文答辩，并经武汉工程大学学位评定委员会审议，授予武汉工程大学</w:t>
      </w:r>
      <w:r>
        <w:rPr>
          <w:rFonts w:hint="eastAsia"/>
          <w:sz w:val="21"/>
          <w:szCs w:val="21"/>
        </w:rPr>
        <w:t>工学</w:t>
      </w:r>
      <w:r>
        <w:rPr>
          <w:sz w:val="21"/>
          <w:szCs w:val="21"/>
        </w:rPr>
        <w:t>硕士学位证书。</w:t>
      </w:r>
    </w:p>
    <w:p>
      <w:pPr>
        <w:pStyle w:val="Style18"/>
        <w:snapToGrid w:val="false"/>
        <w:spacing w:lineRule="auto" w:line="360" w:before="100" w:after="100"/>
        <w:contextualSpacing/>
        <w:rPr>
          <w:sz w:val="21"/>
          <w:szCs w:val="21"/>
        </w:rPr>
      </w:pPr>
      <w:r>
        <w:rPr>
          <w:sz w:val="21"/>
          <w:szCs w:val="21"/>
        </w:rPr>
      </w:r>
    </w:p>
    <w:p>
      <w:pPr>
        <w:pStyle w:val="Normal"/>
        <w:widowControl/>
        <w:numPr>
          <w:ilvl w:val="0"/>
          <w:numId w:val="0"/>
        </w:numPr>
        <w:spacing w:lineRule="auto" w:line="360" w:before="100" w:after="100"/>
        <w:contextualSpacing/>
        <w:jc w:val="start"/>
        <w:outlineLvl w:val="2"/>
        <w:rPr>
          <w:rFonts w:ascii="宋体" w:hAnsi="宋体" w:cs="宋体"/>
          <w:szCs w:val="21"/>
        </w:rPr>
      </w:pPr>
      <w:r>
        <w:rPr>
          <w:rFonts w:cs="宋体" w:ascii="宋体" w:hAnsi="宋体"/>
          <w:sz w:val="21"/>
          <w:szCs w:val="21"/>
        </w:rPr>
      </w:r>
    </w:p>
    <w:sectPr>
      <w:headerReference w:type="default" r:id="rId5"/>
      <w:type w:val="nextPage"/>
      <w:pgSz w:w="11906" w:h="16838"/>
      <w:pgMar w:left="1800" w:right="1800" w:gutter="0" w:header="851" w:top="1440" w:footer="0" w:bottom="144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86"/>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86"/>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lang w:val="zh-CN" w:eastAsia="zh-CN"/>
      </w:rPr>
      <w:drawing>
        <wp:anchor distT="0" distB="0" distL="114935" distR="114935" simplePos="0" relativeHeight="6" behindDoc="1" locked="0" layoutInCell="0" allowOverlap="1">
          <wp:simplePos x="0" y="0"/>
          <wp:positionH relativeFrom="margin">
            <wp:align>center</wp:align>
          </wp:positionH>
          <wp:positionV relativeFrom="margin">
            <wp:align>center</wp:align>
          </wp:positionV>
          <wp:extent cx="4110990" cy="4104005"/>
          <wp:effectExtent l="0" t="0" r="0" b="0"/>
          <wp:wrapNone/>
          <wp:docPr id="2" name="WordPictureWatermark448256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448256048"/>
                  <pic:cNvPicPr>
                    <a:picLocks noChangeAspect="1" noChangeArrowheads="1"/>
                  </pic:cNvPicPr>
                </pic:nvPicPr>
                <pic:blipFill>
                  <a:blip r:embed="rId1">
                    <a:lum bright="70000" contrast="-70000"/>
                  </a:blip>
                  <a:srcRect l="-6" t="-6" r="-6" b="-6"/>
                  <a:stretch>
                    <a:fillRect/>
                  </a:stretch>
                </pic:blipFill>
                <pic:spPr bwMode="auto">
                  <a:xfrm>
                    <a:off x="0" y="0"/>
                    <a:ext cx="4110990" cy="4104005"/>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pStyle w:val="Heading3"/>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8"/>
      <w:numFmt w:val="chineseCountingThousand"/>
      <w:lvlText w:val="%1、"/>
      <w:lvlJc w:val="start"/>
      <w:pPr>
        <w:tabs>
          <w:tab w:val="num" w:pos="0"/>
        </w:tabs>
        <w:ind w:start="450" w:hanging="450"/>
      </w:pPr>
      <w:rPr/>
    </w:lvl>
    <w:lvl w:ilvl="1">
      <w:start w:val="1"/>
      <w:numFmt w:val="lowerLetter"/>
      <w:lvlText w:val="%2)"/>
      <w:lvlJc w:val="start"/>
      <w:pPr>
        <w:tabs>
          <w:tab w:val="num" w:pos="0"/>
        </w:tabs>
        <w:ind w:start="840" w:hanging="420"/>
      </w:pPr>
    </w:lvl>
    <w:lvl w:ilvl="2">
      <w:start w:val="1"/>
      <w:numFmt w:val="lowerRoman"/>
      <w:lvlText w:val="%3."/>
      <w:lvlJc w:val="end"/>
      <w:pPr>
        <w:tabs>
          <w:tab w:val="num" w:pos="0"/>
        </w:tabs>
        <w:ind w:start="1260" w:hanging="420"/>
      </w:pPr>
    </w:lvl>
    <w:lvl w:ilvl="3">
      <w:start w:val="1"/>
      <w:numFmt w:val="decimal"/>
      <w:lvlText w:val="%4."/>
      <w:lvlJc w:val="start"/>
      <w:pPr>
        <w:tabs>
          <w:tab w:val="num" w:pos="0"/>
        </w:tabs>
        <w:ind w:start="1680" w:hanging="420"/>
      </w:pPr>
    </w:lvl>
    <w:lvl w:ilvl="4">
      <w:start w:val="1"/>
      <w:numFmt w:val="lowerLetter"/>
      <w:lvlText w:val="%5)"/>
      <w:lvlJc w:val="start"/>
      <w:pPr>
        <w:tabs>
          <w:tab w:val="num" w:pos="0"/>
        </w:tabs>
        <w:ind w:start="2100" w:hanging="420"/>
      </w:pPr>
    </w:lvl>
    <w:lvl w:ilvl="5">
      <w:start w:val="1"/>
      <w:numFmt w:val="lowerRoman"/>
      <w:lvlText w:val="%6."/>
      <w:lvlJc w:val="end"/>
      <w:pPr>
        <w:tabs>
          <w:tab w:val="num" w:pos="0"/>
        </w:tabs>
        <w:ind w:start="2520" w:hanging="420"/>
      </w:pPr>
    </w:lvl>
    <w:lvl w:ilvl="6">
      <w:start w:val="1"/>
      <w:numFmt w:val="decimal"/>
      <w:lvlText w:val="%7."/>
      <w:lvlJc w:val="start"/>
      <w:pPr>
        <w:tabs>
          <w:tab w:val="num" w:pos="0"/>
        </w:tabs>
        <w:ind w:start="2940" w:hanging="420"/>
      </w:pPr>
    </w:lvl>
    <w:lvl w:ilvl="7">
      <w:start w:val="1"/>
      <w:numFmt w:val="lowerLetter"/>
      <w:lvlText w:val="%8)"/>
      <w:lvlJc w:val="start"/>
      <w:pPr>
        <w:tabs>
          <w:tab w:val="num" w:pos="0"/>
        </w:tabs>
        <w:ind w:start="3360" w:hanging="420"/>
      </w:pPr>
    </w:lvl>
    <w:lvl w:ilvl="8">
      <w:start w:val="1"/>
      <w:numFmt w:val="lowerRoman"/>
      <w:lvlText w:val="%9."/>
      <w:lvlJc w:val="end"/>
      <w:pPr>
        <w:tabs>
          <w:tab w:val="num" w:pos="0"/>
        </w:tabs>
        <w:ind w:start="3780" w:hanging="420"/>
      </w:pPr>
    </w:lvl>
  </w:abstractNum>
  <w:num w:numId="1">
    <w:abstractNumId w:val="1"/>
  </w:num>
  <w:num w:numId="2">
    <w:abstractNumId w:val="2"/>
  </w:num>
</w:numbering>
</file>

<file path=word/settings.xml><?xml version="1.0" encoding="utf-8"?>
<w:settings xmlns:w="http://schemas.openxmlformats.org/wordprocessingml/2006/main">
  <w:zoom w:percent="100"/>
  <w:defaultTabStop w:val="420"/>
  <w:autoHyphenation w:val="true"/>
  <w:hyphenationZone w:val="0"/>
  <w:compat>
    <w:doNotExpandShiftReturn/>
    <w:adjustLineHeightInTable/>
    <w:compatSetting w:name="compatibilityMode" w:uri="http://schemas.microsoft.com/office/word" w:val="11"/>
  </w:compat>
  <w:docVars>
    <w:docVar w:name="commondata" w:val="eyJoZGlkIjoiNGQ5ODQ5N2Q1NmI0ZDAwYTJiMTcyMmU3ZjhhMWE4NmEifQ=="/>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宋体" w:cs="Lucida Sans"/>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2"/>
      <w:lang w:bidi="ar-SA" w:val="en-US" w:eastAsia="zh-CN"/>
    </w:rPr>
  </w:style>
  <w:style w:type="paragraph" w:styleId="Heading3">
    <w:name w:val="heading 3"/>
    <w:basedOn w:val="Normal"/>
    <w:next w:val="BodyText"/>
    <w:qFormat/>
    <w:pPr>
      <w:widowControl/>
      <w:numPr>
        <w:ilvl w:val="2"/>
        <w:numId w:val="1"/>
      </w:numPr>
      <w:spacing w:before="100" w:after="100"/>
      <w:jc w:val="start"/>
      <w:outlineLvl w:val="2"/>
    </w:pPr>
    <w:rPr>
      <w:rFonts w:ascii="宋体" w:hAnsi="宋体" w:eastAsia="宋体" w:cs="宋体"/>
      <w:b/>
      <w:bCs/>
      <w:kern w:val="0"/>
      <w:sz w:val="27"/>
      <w:szCs w:val="27"/>
    </w:rPr>
  </w:style>
  <w:style w:type="character" w:styleId="WW8Num1z0">
    <w:name w:val="WW8Num1z0"/>
    <w:qFormat/>
    <w:rPr/>
  </w:style>
  <w:style w:type="character" w:styleId="Style13">
    <w:name w:val="默认段落字体"/>
    <w:qFormat/>
    <w:rPr/>
  </w:style>
  <w:style w:type="character" w:styleId="3Char">
    <w:name w:val="标题 3 Char"/>
    <w:basedOn w:val="Style13"/>
    <w:qFormat/>
    <w:rPr>
      <w:rFonts w:ascii="宋体" w:hAnsi="宋体" w:eastAsia="宋体" w:cs="宋体"/>
      <w:b/>
      <w:bCs/>
      <w:kern w:val="0"/>
      <w:sz w:val="27"/>
      <w:szCs w:val="27"/>
    </w:rPr>
  </w:style>
  <w:style w:type="character" w:styleId="Char">
    <w:name w:val="批注框文本 Char"/>
    <w:basedOn w:val="Style13"/>
    <w:qFormat/>
    <w:rPr>
      <w:sz w:val="18"/>
      <w:szCs w:val="18"/>
    </w:rPr>
  </w:style>
  <w:style w:type="character" w:styleId="Char1">
    <w:name w:val="页脚 Char"/>
    <w:basedOn w:val="Style13"/>
    <w:qFormat/>
    <w:rPr>
      <w:sz w:val="18"/>
      <w:szCs w:val="18"/>
    </w:rPr>
  </w:style>
  <w:style w:type="character" w:styleId="Char2">
    <w:name w:val="页眉 Char"/>
    <w:basedOn w:val="Style13"/>
    <w:qFormat/>
    <w:rPr>
      <w:sz w:val="18"/>
      <w:szCs w:val="18"/>
    </w:rPr>
  </w:style>
  <w:style w:type="character" w:styleId="Hyperlink">
    <w:name w:val="Hyperlink"/>
    <w:basedOn w:val="Style13"/>
    <w:rPr>
      <w:color w:val="0000FF"/>
      <w:u w:val="single"/>
    </w:rPr>
  </w:style>
  <w:style w:type="paragraph" w:styleId="Style14">
    <w:name w:val="标题样式"/>
    <w:basedOn w:val="Normal"/>
    <w:next w:val="BodyText"/>
    <w:qFormat/>
    <w:pPr>
      <w:keepNext w:val="true"/>
      <w:spacing w:before="240" w:after="120"/>
    </w:pPr>
    <w:rPr>
      <w:rFonts w:ascii="Liberation Sans" w:hAnsi="Liberation Sans" w:eastAsia="Noto Sans SC"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5">
    <w:name w:val="索引"/>
    <w:basedOn w:val="Normal"/>
    <w:qFormat/>
    <w:pPr>
      <w:suppressLineNumbers/>
    </w:pPr>
    <w:rPr>
      <w:rFonts w:cs="Lucida Sans"/>
    </w:rPr>
  </w:style>
  <w:style w:type="paragraph" w:styleId="Style16">
    <w:name w:val="批注框文本"/>
    <w:basedOn w:val="Normal"/>
    <w:qFormat/>
    <w:pPr/>
    <w:rPr>
      <w:sz w:val="18"/>
      <w:szCs w:val="18"/>
    </w:rPr>
  </w:style>
  <w:style w:type="paragraph" w:styleId="Style17">
    <w:name w:val="页眉与页脚"/>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8">
    <w:name w:val="普通(网站)"/>
    <w:basedOn w:val="Normal"/>
    <w:qFormat/>
    <w:pPr>
      <w:widowControl/>
      <w:spacing w:before="100" w:after="100"/>
      <w:jc w:val="start"/>
    </w:pPr>
    <w:rPr>
      <w:rFonts w:ascii="宋体" w:hAnsi="宋体" w:eastAsia="宋体" w:cs="宋体"/>
      <w:kern w:val="0"/>
      <w:sz w:val="24"/>
      <w:szCs w:val="24"/>
    </w:rPr>
  </w:style>
  <w:style w:type="paragraph" w:styleId="Style19">
    <w:name w:val="列出段落"/>
    <w:basedOn w:val="Normal"/>
    <w:qFormat/>
    <w:pPr>
      <w:ind w:firstLineChars="200" w:startChars="0" w:start="0" w:endChars="0" w:end="0"/>
    </w:pPr>
    <w:rPr/>
  </w:style>
  <w:style w:type="paragraph" w:styleId="Style20">
    <w:name w:val="表格内容"/>
    <w:basedOn w:val="Normal"/>
    <w:qFormat/>
    <w:pPr>
      <w:widowControl w:val="false"/>
      <w:suppressLineNumbers/>
    </w:pPr>
    <w:rPr/>
  </w:style>
  <w:style w:type="paragraph" w:styleId="Style21">
    <w:name w:val="表格标题"/>
    <w:basedOn w:val="Style20"/>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baike.baidu.com/item/&#26448;&#26009;&#31185;&#23398;&#19982;&#24037;&#31243;" TargetMode="External"/><Relationship Id="rId4" Type="http://schemas.openxmlformats.org/officeDocument/2006/relationships/hyperlink" Target="https://baike.baidu.com/item/&#39640;&#20998;&#23376;&#26448;&#26009;&#21152;&#24037;&#24037;&#31243;/4251112" TargetMode="External"/><Relationship Id="rId5" Type="http://schemas.openxmlformats.org/officeDocument/2006/relationships/header" Target="head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7200</TotalTime>
  <Application>LibreOffice/26.2.5.2$Windows_X86_64 LibreOffice_project/cd7284b4cbbfeb507e630c1aac019f4157393acb</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2021-04-14T13:36:00Z</dcterms:created>
  <dc:creator>Administrator</dc:creator>
  <dc:description/>
  <dc:language>zh-CN</dc:language>
  <cp:lastModifiedBy>Administrator</cp:lastModifiedBy>
  <dcterms:modified xsi:type="dcterms:W3CDTF">2026-01-15T11:48:23Z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61D2109ACA3645379137E004346D7B2D</vt:lpwstr>
  </property>
  <property fmtid="{D5CDD505-2E9C-101B-9397-08002B2CF9AE}" pid="3" name="KSOProductBuildVer">
    <vt:lpwstr>2052-12.1.0.19302</vt:lpwstr>
  </property>
  <property fmtid="{D5CDD505-2E9C-101B-9397-08002B2CF9AE}" pid="4" name="KSOTemplateDocerSaveRecord">
    <vt:lpwstr>eyJoZGlkIjoiMjJkYmYyOGQwNjU2YTFjYjBlYWQzZDdlZjc2Nzk1ZWYifQ==</vt:lpwstr>
  </property>
</Properties>
</file>