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contextualSpacing/>
        <w:rPr>
          <w:rFonts w:ascii="宋体" w:hAnsi="宋体" w:cs="宋体" w:hint="eastAsia"/>
          <w:sz w:val="24"/>
          <w:szCs w:val="24"/>
        </w:rPr>
      </w:pPr>
      <w:r>
        <w:rPr>
          <w:rFonts w:ascii="宋体" w:hAnsi="宋体" w:cs="宋体"/>
          <w:sz w:val="24"/>
          <w:szCs w:val="24"/>
          <w:lang w:val="zh-CN" w:eastAsia="zh-CN"/>
        </w:rPr>
        <w:drawing>
          <wp:inline distT="0" distB="0" distL="0" distR="0">
            <wp:extent cx="5276850" cy="11899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6" t="-26" r="-6" b="-26"/>
                    <a:stretch>
                      <a:fillRect/>
                    </a:stretch>
                  </pic:blipFill>
                  <pic:spPr bwMode="auto">
                    <a:xfrm>
                      <a:off x="0" y="0"/>
                      <a:ext cx="5276850" cy="1189990"/>
                    </a:xfrm>
                    <a:prstGeom prst="rect">
                      <a:avLst/>
                    </a:prstGeom>
                    <a:noFill/>
                  </pic:spPr>
                </pic:pic>
              </a:graphicData>
            </a:graphic>
          </wp:inline>
        </w:drawing>
      </w:r>
    </w:p>
    <w:p>
      <w:pPr>
        <w:pStyle w:val="Normal"/>
        <w:spacing w:lineRule="auto" w:line="360" w:before="0" w:after="0"/>
        <w:ind w:hangingChars="900" w:startChars="0" w:start="0" w:endChars="0" w:end="0"/>
        <w:contextualSpacing/>
        <w:rPr>
          <w:rFonts w:ascii="宋体" w:hAnsi="宋体" w:cs="宋体" w:hint="eastAsia"/>
          <w:b/>
          <w:sz w:val="32"/>
          <w:szCs w:val="32"/>
        </w:rPr>
      </w:pPr>
      <w:r>
        <w:rPr>
          <w:rFonts w:cs="宋体" w:hint="eastAsia" w:ascii="宋体" w:hAnsi="宋体"/>
          <w:b/>
          <w:sz w:val="32"/>
          <w:szCs w:val="32"/>
        </w:rPr>
      </w:r>
    </w:p>
    <w:p>
      <w:pPr>
        <w:pStyle w:val="Normal"/>
        <w:spacing w:lineRule="auto" w:line="360" w:before="0" w:after="0"/>
        <w:ind w:hangingChars="1000" w:startChars="0" w:start="0" w:endChars="0" w:end="0"/>
        <w:contextualSpacing/>
        <w:rPr>
          <w:rFonts w:ascii="宋体" w:hAnsi="宋体" w:cs="宋体" w:hint="eastAsia"/>
          <w:b/>
          <w:color w:val="000000"/>
          <w:sz w:val="32"/>
          <w:szCs w:val="32"/>
        </w:rPr>
      </w:pPr>
      <w:r>
        <w:rPr>
          <w:rFonts w:ascii="宋体" w:hAnsi="宋体" w:cs="宋体" w:hint="eastAsia"/>
          <w:b/>
          <w:color w:val="000000"/>
          <w:sz w:val="32"/>
          <w:szCs w:val="32"/>
        </w:rPr>
        <w:t>武汉工程大学制药工程专业同等学力人员申请硕士学位  招生简章</w:t>
      </w:r>
    </w:p>
    <w:p>
      <w:pPr>
        <w:pStyle w:val="Normal"/>
        <w:spacing w:lineRule="auto" w:line="360" w:before="0" w:after="0"/>
        <w:ind w:firstLineChars="1300" w:startChars="0" w:start="0" w:endChars="0" w:end="0"/>
        <w:contextualSpacing/>
        <w:rPr>
          <w:rFonts w:ascii="宋体" w:hAnsi="宋体" w:cs="宋体"/>
          <w:color w:val="FF0000"/>
          <w:sz w:val="24"/>
          <w:szCs w:val="24"/>
        </w:rPr>
      </w:pPr>
      <w:r>
        <w:rPr>
          <w:rFonts w:ascii="宋体" w:hAnsi="宋体" w:cs="宋体"/>
          <w:color w:val="FF0000"/>
          <w:sz w:val="24"/>
          <w:szCs w:val="24"/>
        </w:rPr>
        <w:t>面向全国招生</w:t>
      </w:r>
      <w:r>
        <w:rPr>
          <w:rFonts w:ascii="宋体" w:hAnsi="宋体" w:cs="宋体" w:hint="eastAsia"/>
          <w:color w:val="FF0000"/>
          <w:sz w:val="24"/>
          <w:szCs w:val="24"/>
        </w:rPr>
        <w:t xml:space="preserve">    </w:t>
      </w:r>
    </w:p>
    <w:p>
      <w:pPr>
        <w:pStyle w:val="Normal"/>
        <w:tabs>
          <w:tab w:val="clear" w:pos="420"/>
          <w:tab w:val="left" w:pos="720" w:leader="none"/>
        </w:tabs>
        <w:spacing w:lineRule="auto" w:line="360" w:before="0" w:after="0"/>
        <w:contextualSpacing/>
        <w:rPr>
          <w:rFonts w:ascii="宋体" w:hAnsi="宋体" w:cs="宋体" w:hint="eastAsia"/>
          <w:spacing w:val="-13"/>
          <w:sz w:val="24"/>
          <w:szCs w:val="24"/>
        </w:rPr>
      </w:pPr>
      <w:r>
        <w:rPr>
          <w:rFonts w:cs="宋体" w:hint="eastAsia" w:ascii="宋体" w:hAnsi="宋体"/>
          <w:color w:val="FF0000"/>
          <w:spacing w:val="-13"/>
          <w:sz w:val="24"/>
          <w:szCs w:val="24"/>
        </w:rPr>
      </w:r>
    </w:p>
    <w:p>
      <w:pPr>
        <w:pStyle w:val="Normal"/>
        <w:tabs>
          <w:tab w:val="clear" w:pos="420"/>
          <w:tab w:val="left" w:pos="720" w:leader="none"/>
        </w:tabs>
        <w:spacing w:lineRule="auto" w:line="360" w:before="0" w:after="0"/>
        <w:ind w:firstLineChars="200" w:startChars="0" w:start="0" w:endChars="0" w:end="0"/>
        <w:contextualSpacing/>
        <w:rPr>
          <w:rFonts w:ascii="宋体" w:hAnsi="宋体" w:cs="宋体" w:hint="eastAsia"/>
          <w:bCs/>
          <w:kern w:val="0"/>
          <w:szCs w:val="21"/>
        </w:rPr>
      </w:pPr>
      <w:r>
        <w:rPr>
          <w:rFonts w:ascii="宋体" w:hAnsi="宋体" w:cs="宋体" w:hint="eastAsia"/>
          <w:bCs/>
          <w:kern w:val="0"/>
          <w:szCs w:val="21"/>
        </w:rPr>
        <w:t>武汉工程大学是一所以工为主，覆盖工、理、管、经、文、法、艺术、医学、教育学等九大学科门类的教学研究型大学。学校是湖北省重点建设高校，是“一所特色鲜明的高校”。</w:t>
      </w:r>
      <w:r>
        <w:rPr>
          <w:rFonts w:cs="宋体" w:hint="eastAsia" w:ascii="宋体" w:hAnsi="宋体"/>
          <w:bCs/>
          <w:kern w:val="0"/>
          <w:szCs w:val="21"/>
        </w:rPr>
        <w:t>2012</w:t>
      </w:r>
      <w:r>
        <w:rPr>
          <w:rFonts w:ascii="宋体" w:hAnsi="宋体" w:cs="宋体" w:hint="eastAsia"/>
          <w:bCs/>
          <w:kern w:val="0"/>
          <w:szCs w:val="21"/>
        </w:rPr>
        <w:t>年学校入选中西部高校基础能力建设工程（小</w:t>
      </w:r>
      <w:r>
        <w:rPr>
          <w:rFonts w:cs="宋体" w:hint="eastAsia" w:ascii="宋体" w:hAnsi="宋体"/>
          <w:bCs/>
          <w:kern w:val="0"/>
          <w:szCs w:val="21"/>
        </w:rPr>
        <w:t>211</w:t>
      </w:r>
      <w:r>
        <w:rPr>
          <w:rFonts w:ascii="宋体" w:hAnsi="宋体" w:cs="宋体" w:hint="eastAsia"/>
          <w:bCs/>
          <w:kern w:val="0"/>
          <w:szCs w:val="21"/>
        </w:rPr>
        <w:t>工程）。</w:t>
      </w:r>
      <w:r>
        <w:rPr>
          <w:rFonts w:cs="宋体" w:hint="eastAsia" w:ascii="宋体" w:hAnsi="宋体"/>
          <w:bCs/>
          <w:kern w:val="0"/>
          <w:szCs w:val="21"/>
        </w:rPr>
        <w:t>2013</w:t>
      </w:r>
      <w:r>
        <w:rPr>
          <w:rFonts w:ascii="宋体" w:hAnsi="宋体" w:cs="宋体" w:hint="eastAsia"/>
          <w:bCs/>
          <w:kern w:val="0"/>
          <w:szCs w:val="21"/>
        </w:rPr>
        <w:t>年学校被国务院学位委员会确定为博士学位授予单位。</w:t>
      </w:r>
      <w:r>
        <w:rPr>
          <w:rFonts w:cs="宋体" w:hint="eastAsia" w:ascii="宋体" w:hAnsi="宋体"/>
          <w:bCs/>
          <w:kern w:val="0"/>
          <w:szCs w:val="21"/>
        </w:rPr>
        <w:t>2014</w:t>
      </w:r>
      <w:r>
        <w:rPr>
          <w:rFonts w:ascii="宋体" w:hAnsi="宋体" w:cs="宋体" w:hint="eastAsia"/>
          <w:bCs/>
          <w:kern w:val="0"/>
          <w:szCs w:val="21"/>
        </w:rPr>
        <w:t>年学校整体进入一本高校行列。</w:t>
      </w:r>
    </w:p>
    <w:p>
      <w:pPr>
        <w:pStyle w:val="Normal"/>
        <w:tabs>
          <w:tab w:val="clear" w:pos="420"/>
          <w:tab w:val="left" w:pos="720" w:leader="none"/>
        </w:tabs>
        <w:spacing w:lineRule="auto" w:line="360" w:before="0" w:after="0"/>
        <w:contextualSpacing/>
        <w:rPr>
          <w:rFonts w:ascii="宋体" w:hAnsi="宋体" w:cs="宋体" w:hint="eastAsia"/>
          <w:spacing w:val="-13"/>
          <w:szCs w:val="21"/>
        </w:rPr>
      </w:pPr>
      <w:r>
        <w:rPr>
          <w:rFonts w:cs="宋体" w:hint="eastAsia" w:ascii="宋体" w:hAnsi="宋体"/>
          <w:bCs/>
          <w:spacing w:val="-13"/>
          <w:kern w:val="0"/>
          <w:szCs w:val="21"/>
        </w:rPr>
      </w:r>
    </w:p>
    <w:p>
      <w:pPr>
        <w:pStyle w:val="Style19"/>
        <w:tabs>
          <w:tab w:val="clear" w:pos="420"/>
          <w:tab w:val="left" w:pos="720" w:leader="none"/>
        </w:tabs>
        <w:spacing w:lineRule="auto" w:line="360" w:before="0" w:after="0"/>
        <w:ind w:firstLineChars="0" w:firstLine="0" w:endChars="0" w:end="0"/>
        <w:contextualSpacing/>
        <w:rPr>
          <w:rFonts w:ascii="宋体" w:hAnsi="宋体" w:cs="宋体" w:hint="eastAsia"/>
          <w:b/>
          <w:color w:val="0070C0"/>
          <w:spacing w:val="-13"/>
          <w:szCs w:val="21"/>
        </w:rPr>
      </w:pPr>
      <w:r>
        <w:rPr>
          <w:rFonts w:ascii="宋体" w:hAnsi="宋体" w:cs="宋体" w:hint="eastAsia"/>
          <w:b/>
          <w:color w:val="0070C0"/>
          <w:spacing w:val="-13"/>
          <w:szCs w:val="21"/>
        </w:rPr>
        <w:t>一、学院及专业简介</w:t>
      </w:r>
    </w:p>
    <w:p>
      <w:pPr>
        <w:pStyle w:val="Normal"/>
        <w:tabs>
          <w:tab w:val="clear" w:pos="420"/>
          <w:tab w:val="left" w:pos="720" w:leader="none"/>
        </w:tabs>
        <w:spacing w:lineRule="auto" w:line="360" w:before="0" w:after="0"/>
        <w:ind w:firstLineChars="200" w:startChars="0" w:start="0" w:endChars="0" w:end="0"/>
        <w:contextualSpacing/>
        <w:rPr>
          <w:rFonts w:ascii="宋体" w:hAnsi="宋体" w:cs="宋体" w:hint="eastAsia"/>
          <w:bCs/>
          <w:kern w:val="0"/>
          <w:szCs w:val="21"/>
        </w:rPr>
      </w:pPr>
      <w:r>
        <w:rPr>
          <w:rFonts w:ascii="宋体" w:hAnsi="宋体" w:cs="宋体" w:hint="eastAsia"/>
          <w:bCs/>
          <w:kern w:val="0"/>
          <w:szCs w:val="21"/>
        </w:rPr>
        <w:t>化工与制药学院始设于</w:t>
      </w:r>
      <w:r>
        <w:rPr>
          <w:rFonts w:cs="宋体" w:hint="eastAsia" w:ascii="宋体" w:hAnsi="宋体"/>
          <w:bCs/>
          <w:kern w:val="0"/>
          <w:szCs w:val="21"/>
        </w:rPr>
        <w:t>1972</w:t>
      </w:r>
      <w:r>
        <w:rPr>
          <w:rFonts w:ascii="宋体" w:hAnsi="宋体" w:cs="宋体" w:hint="eastAsia"/>
          <w:bCs/>
          <w:kern w:val="0"/>
          <w:szCs w:val="21"/>
        </w:rPr>
        <w:t>年的化学工程系</w:t>
      </w:r>
      <w:r>
        <w:rPr>
          <w:rFonts w:cs="宋体" w:hint="eastAsia" w:ascii="宋体" w:hAnsi="宋体"/>
          <w:bCs/>
          <w:kern w:val="0"/>
          <w:szCs w:val="21"/>
        </w:rPr>
        <w:t>,</w:t>
      </w:r>
      <w:r>
        <w:rPr>
          <w:rFonts w:ascii="宋体" w:hAnsi="宋体" w:cs="宋体" w:hint="eastAsia"/>
          <w:bCs/>
          <w:kern w:val="0"/>
          <w:szCs w:val="21"/>
        </w:rPr>
        <w:t>是学校办学历史最悠久、教学科研实力最强、特色最鲜明的学院之一。学院的办学理念是“汇聚领军人才，打造一流学科；产出重大成果，培育精英学子。”学院设有一级学科硕士点</w:t>
      </w:r>
      <w:r>
        <w:rPr>
          <w:rFonts w:cs="宋体" w:hint="eastAsia" w:ascii="宋体" w:hAnsi="宋体"/>
          <w:bCs/>
          <w:kern w:val="0"/>
          <w:szCs w:val="21"/>
        </w:rPr>
        <w:t>2</w:t>
      </w:r>
      <w:r>
        <w:rPr>
          <w:rFonts w:ascii="宋体" w:hAnsi="宋体" w:cs="宋体" w:hint="eastAsia"/>
          <w:bCs/>
          <w:kern w:val="0"/>
          <w:szCs w:val="21"/>
        </w:rPr>
        <w:t>个，二级学科硕士点</w:t>
      </w:r>
      <w:r>
        <w:rPr>
          <w:rFonts w:cs="宋体" w:hint="eastAsia" w:ascii="宋体" w:hAnsi="宋体"/>
          <w:bCs/>
          <w:kern w:val="0"/>
          <w:szCs w:val="21"/>
        </w:rPr>
        <w:t>11</w:t>
      </w:r>
      <w:r>
        <w:rPr>
          <w:rFonts w:ascii="宋体" w:hAnsi="宋体" w:cs="宋体" w:hint="eastAsia"/>
          <w:bCs/>
          <w:kern w:val="0"/>
          <w:szCs w:val="21"/>
        </w:rPr>
        <w:t>个，博士后流动站</w:t>
      </w:r>
      <w:r>
        <w:rPr>
          <w:rFonts w:cs="宋体" w:hint="eastAsia" w:ascii="宋体" w:hAnsi="宋体"/>
          <w:bCs/>
          <w:kern w:val="0"/>
          <w:szCs w:val="21"/>
        </w:rPr>
        <w:t>1</w:t>
      </w:r>
      <w:r>
        <w:rPr>
          <w:rFonts w:ascii="宋体" w:hAnsi="宋体" w:cs="宋体" w:hint="eastAsia"/>
          <w:bCs/>
          <w:kern w:val="0"/>
          <w:szCs w:val="21"/>
        </w:rPr>
        <w:t>个。学院将“人才兴院”作为发展的战略重点，从专业教学、学科建设两方面分别组建教学、科研团队，形成了以首席教授领衔，以学术带头人为核心，以研究方向或专业教学为纽带，由首席教授、学术带头人、学术骨干组成了层次合理、富有活力的学科学术梯队和专业人才培养组织体系。</w:t>
      </w:r>
    </w:p>
    <w:p>
      <w:pPr>
        <w:pStyle w:val="Normal"/>
        <w:tabs>
          <w:tab w:val="clear" w:pos="420"/>
          <w:tab w:val="left" w:pos="720" w:leader="none"/>
        </w:tabs>
        <w:spacing w:lineRule="auto" w:line="360" w:before="0" w:after="0"/>
        <w:ind w:firstLineChars="200" w:startChars="0" w:start="0" w:endChars="0" w:end="0"/>
        <w:contextualSpacing/>
        <w:rPr>
          <w:rFonts w:ascii="宋体" w:hAnsi="宋体" w:cs="宋体" w:hint="eastAsia"/>
          <w:szCs w:val="21"/>
        </w:rPr>
      </w:pPr>
      <w:r>
        <w:rPr>
          <w:rFonts w:ascii="宋体" w:hAnsi="宋体" w:cs="宋体" w:hint="eastAsia"/>
          <w:szCs w:val="21"/>
        </w:rPr>
        <w:t>制药工程是国家新设特色新兴学科专业，属化工与制药类专业，制药工程专业的知识体系包括通识类知识、学科基础知识、专业知识、实践性教学等，基础知识涵盖化学、药学、生物学、化学工程、工程图学、电工电子学等学科的核心内容。专业知识应涵盖制药工程与工艺技术、制药设备与车间设计、药物分析与检测技术、药品生产质量管理工程、制药过程安全与环保技术等内容。目前，武汉工程大学</w:t>
      </w:r>
      <w:r>
        <w:rPr>
          <w:rFonts w:ascii="宋体" w:hAnsi="宋体" w:cs="宋体" w:hint="eastAsia"/>
          <w:bCs/>
          <w:kern w:val="0"/>
          <w:szCs w:val="21"/>
        </w:rPr>
        <w:t>化工与制药学院</w:t>
      </w:r>
      <w:r>
        <w:rPr>
          <w:rFonts w:ascii="宋体" w:hAnsi="宋体" w:cs="宋体" w:hint="eastAsia"/>
          <w:szCs w:val="21"/>
        </w:rPr>
        <w:t>面向社会开设制药工程专业同等学力人员申请硕士学位课程班，用以培养更多的制药工程人才。</w:t>
      </w:r>
    </w:p>
    <w:p>
      <w:pPr>
        <w:pStyle w:val="Normal"/>
        <w:widowControl/>
        <w:numPr>
          <w:ilvl w:val="0"/>
          <w:numId w:val="0"/>
        </w:numPr>
        <w:spacing w:lineRule="auto" w:line="360" w:before="100" w:after="100"/>
        <w:contextualSpacing/>
        <w:jc w:val="start"/>
        <w:outlineLvl w:val="2"/>
        <w:rPr>
          <w:rFonts w:ascii="宋体" w:hAnsi="宋体" w:cs="宋体" w:hint="eastAsia"/>
          <w:b/>
          <w:bCs/>
          <w:color w:val="0070C0"/>
          <w:kern w:val="0"/>
          <w:szCs w:val="21"/>
        </w:rPr>
      </w:pPr>
      <w:r>
        <w:rPr>
          <w:rFonts w:ascii="宋体" w:hAnsi="宋体" w:cs="宋体"/>
          <w:b/>
          <w:bCs/>
          <w:color w:val="0070C0"/>
          <w:kern w:val="0"/>
          <w:szCs w:val="21"/>
        </w:rPr>
        <w:t>二、培养目标</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hint="eastAsia"/>
          <w:szCs w:val="21"/>
        </w:rPr>
      </w:pPr>
      <w:r>
        <w:rPr>
          <w:rFonts w:ascii="宋体" w:hAnsi="宋体" w:cs="宋体" w:hint="eastAsia"/>
          <w:szCs w:val="21"/>
        </w:rPr>
        <w:t>本专业培养具有良好人文科学素养、职业道德和社会责任感，在制药工程与技术及相关学科的专业基础扎实，具有一定的组织管理、人际交往、适应发展及国际交流能力，具有综合运用理论知识和现代技术工具分析并解决复杂制药工程问题的能力，能够在制药工程及其相关领域从事技术开发、制造工艺、工程设计、生产管理与服务等工作的高素质工程技术人才。</w:t>
      </w:r>
    </w:p>
    <w:p>
      <w:pPr>
        <w:pStyle w:val="Normal"/>
        <w:widowControl/>
        <w:numPr>
          <w:ilvl w:val="0"/>
          <w:numId w:val="0"/>
        </w:numPr>
        <w:spacing w:lineRule="auto" w:line="360" w:before="100" w:after="100"/>
        <w:contextualSpacing/>
        <w:jc w:val="start"/>
        <w:outlineLvl w:val="2"/>
        <w:rPr>
          <w:rFonts w:ascii="宋体" w:hAnsi="宋体" w:cs="宋体" w:hint="eastAsia"/>
          <w:szCs w:val="21"/>
        </w:rPr>
      </w:pPr>
      <w:r>
        <w:rPr>
          <w:rFonts w:cs="宋体" w:hint="eastAsia" w:ascii="宋体" w:hAnsi="宋体"/>
          <w:szCs w:val="21"/>
        </w:rPr>
      </w:r>
    </w:p>
    <w:p>
      <w:pPr>
        <w:pStyle w:val="Normal"/>
        <w:widowControl/>
        <w:numPr>
          <w:ilvl w:val="0"/>
          <w:numId w:val="0"/>
        </w:numPr>
        <w:spacing w:lineRule="auto" w:line="360" w:before="100" w:after="100"/>
        <w:contextualSpacing/>
        <w:jc w:val="start"/>
        <w:outlineLvl w:val="2"/>
        <w:rPr>
          <w:rFonts w:ascii="宋体" w:hAnsi="宋体" w:cs="宋体" w:hint="eastAsia"/>
          <w:b/>
          <w:color w:val="0070C0"/>
          <w:szCs w:val="21"/>
        </w:rPr>
      </w:pPr>
      <w:r>
        <w:rPr>
          <w:rFonts w:ascii="宋体" w:hAnsi="宋体" w:cs="宋体"/>
          <w:b/>
          <w:color w:val="0070C0"/>
          <w:szCs w:val="21"/>
        </w:rPr>
        <w:t>三、专业优势</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hint="eastAsia"/>
          <w:szCs w:val="21"/>
        </w:rPr>
      </w:pPr>
      <w:r>
        <w:rPr>
          <w:rFonts w:cs="宋体" w:hint="eastAsia" w:ascii="宋体" w:hAnsi="宋体"/>
          <w:szCs w:val="21"/>
        </w:rPr>
        <w:t>1.</w:t>
      </w:r>
      <w:r>
        <w:rPr>
          <w:rFonts w:ascii="宋体" w:hAnsi="宋体" w:cs="宋体"/>
          <w:szCs w:val="21"/>
        </w:rPr>
        <w:t>【</w:t>
      </w:r>
      <w:r>
        <w:rPr>
          <w:rFonts w:ascii="宋体" w:hAnsi="宋体" w:cs="宋体" w:hint="eastAsia"/>
          <w:szCs w:val="21"/>
        </w:rPr>
        <w:t>新兴特色</w:t>
      </w:r>
      <w:r>
        <w:rPr>
          <w:rFonts w:ascii="宋体" w:hAnsi="宋体" w:cs="宋体"/>
          <w:szCs w:val="21"/>
        </w:rPr>
        <w:t>学科】</w:t>
      </w:r>
      <w:r>
        <w:rPr>
          <w:rFonts w:ascii="宋体" w:hAnsi="宋体" w:cs="宋体" w:hint="eastAsia"/>
          <w:szCs w:val="21"/>
        </w:rPr>
        <w:t>本专业已成为推动国民经济发展的支柱产业和战略性新兴产业，制药工程专业担负着为制药行业培养和输送高素质专门人才的重任；</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szCs w:val="21"/>
        </w:rPr>
      </w:pPr>
      <w:r>
        <w:rPr>
          <w:rFonts w:cs="宋体" w:hint="eastAsia" w:ascii="宋体" w:hAnsi="宋体"/>
          <w:szCs w:val="21"/>
        </w:rPr>
        <w:t>2.</w:t>
      </w:r>
      <w:r>
        <w:rPr>
          <w:rFonts w:ascii="宋体" w:hAnsi="宋体" w:cs="宋体" w:hint="eastAsia"/>
          <w:szCs w:val="21"/>
        </w:rPr>
        <w:t>【申硕仅考</w:t>
      </w:r>
      <w:r>
        <w:rPr>
          <w:rFonts w:cs="宋体" w:hint="eastAsia" w:ascii="宋体" w:hAnsi="宋体"/>
          <w:szCs w:val="21"/>
        </w:rPr>
        <w:t>1</w:t>
      </w:r>
      <w:r>
        <w:rPr>
          <w:rFonts w:ascii="宋体" w:hAnsi="宋体" w:cs="宋体" w:hint="eastAsia"/>
          <w:szCs w:val="21"/>
        </w:rPr>
        <w:t>科】学员满足申硕条件参加全国统一同等学力申请硕士学位考试，仅考外语</w:t>
      </w:r>
      <w:r>
        <w:rPr>
          <w:rFonts w:cs="宋体" w:hint="eastAsia" w:ascii="宋体" w:hAnsi="宋体"/>
          <w:szCs w:val="21"/>
        </w:rPr>
        <w:t>1</w:t>
      </w:r>
      <w:r>
        <w:rPr>
          <w:rFonts w:ascii="宋体" w:hAnsi="宋体" w:cs="宋体" w:hint="eastAsia"/>
          <w:szCs w:val="21"/>
        </w:rPr>
        <w:t>科目，百分制六十分及格，难度较低；</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hint="eastAsia"/>
          <w:szCs w:val="21"/>
        </w:rPr>
      </w:pPr>
      <w:r>
        <w:rPr>
          <w:rFonts w:cs="宋体" w:hint="eastAsia" w:ascii="宋体" w:hAnsi="宋体"/>
          <w:szCs w:val="21"/>
        </w:rPr>
        <w:t>3.</w:t>
      </w:r>
      <w:r>
        <w:rPr>
          <w:rFonts w:ascii="宋体" w:hAnsi="宋体" w:cs="宋体" w:hint="eastAsia"/>
          <w:szCs w:val="21"/>
        </w:rPr>
        <w:t>【</w:t>
      </w:r>
      <w:r>
        <w:rPr>
          <w:rFonts w:ascii="宋体" w:hAnsi="宋体" w:cs="宋体"/>
          <w:szCs w:val="21"/>
        </w:rPr>
        <w:t>学习方式</w:t>
      </w:r>
      <w:r>
        <w:rPr>
          <w:rFonts w:ascii="宋体" w:hAnsi="宋体" w:cs="宋体" w:hint="eastAsia"/>
          <w:szCs w:val="21"/>
        </w:rPr>
        <w:t>灵活】本专业</w:t>
      </w:r>
      <w:r>
        <w:rPr>
          <w:rFonts w:ascii="宋体" w:hAnsi="宋体" w:cs="宋体"/>
          <w:szCs w:val="21"/>
        </w:rPr>
        <w:t>设校本部面授班、异地网络教学班，学员不受时间、地域限制随时可学习，方便灵活</w:t>
      </w:r>
      <w:r>
        <w:rPr>
          <w:rFonts w:ascii="宋体" w:hAnsi="宋体" w:cs="宋体" w:hint="eastAsia"/>
          <w:szCs w:val="21"/>
        </w:rPr>
        <w:t>；</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szCs w:val="21"/>
        </w:rPr>
      </w:pPr>
      <w:r>
        <w:rPr>
          <w:rFonts w:cs="宋体" w:hint="eastAsia" w:ascii="宋体" w:hAnsi="宋体"/>
          <w:szCs w:val="21"/>
        </w:rPr>
        <w:t>4.</w:t>
      </w:r>
      <w:r>
        <w:rPr>
          <w:rFonts w:ascii="宋体" w:hAnsi="宋体" w:cs="宋体"/>
          <w:szCs w:val="21"/>
        </w:rPr>
        <w:t>【可获名校证书】拟申请硕士学位的同等学力人员具备条件后，经学校学位评定委员会批准，授予武汉工程大学硕士学位证书</w:t>
      </w:r>
      <w:r>
        <w:rPr>
          <w:rFonts w:ascii="宋体" w:hAnsi="宋体" w:cs="宋体" w:hint="eastAsia"/>
          <w:szCs w:val="21"/>
        </w:rPr>
        <w:t>。</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hint="eastAsia"/>
          <w:szCs w:val="21"/>
        </w:rPr>
      </w:pPr>
      <w:r>
        <w:rPr>
          <w:rFonts w:cs="宋体" w:hint="eastAsia" w:ascii="宋体" w:hAnsi="宋体"/>
          <w:szCs w:val="21"/>
        </w:rPr>
        <w:t>5.</w:t>
      </w:r>
      <w:r>
        <w:rPr>
          <w:rFonts w:ascii="宋体" w:hAnsi="宋体" w:cs="宋体" w:hint="eastAsia"/>
          <w:szCs w:val="21"/>
        </w:rPr>
        <w:t>【学知识结人脉】学习期间不定期举行课外活动，学知识结高端校友人脉。</w:t>
      </w:r>
    </w:p>
    <w:p>
      <w:pPr>
        <w:pStyle w:val="Normal"/>
        <w:widowControl/>
        <w:numPr>
          <w:ilvl w:val="0"/>
          <w:numId w:val="0"/>
        </w:numPr>
        <w:spacing w:lineRule="auto" w:line="360" w:before="100" w:after="100"/>
        <w:contextualSpacing/>
        <w:jc w:val="start"/>
        <w:outlineLvl w:val="2"/>
        <w:rPr>
          <w:rFonts w:ascii="宋体" w:hAnsi="宋体" w:cs="宋体" w:hint="eastAsia"/>
          <w:szCs w:val="21"/>
        </w:rPr>
      </w:pPr>
      <w:r>
        <w:rPr>
          <w:rFonts w:cs="宋体" w:hint="eastAsia" w:ascii="宋体" w:hAnsi="宋体"/>
          <w:szCs w:val="21"/>
        </w:rPr>
      </w:r>
    </w:p>
    <w:p>
      <w:pPr>
        <w:pStyle w:val="Normal"/>
        <w:widowControl/>
        <w:numPr>
          <w:ilvl w:val="0"/>
          <w:numId w:val="3"/>
        </w:numPr>
        <w:spacing w:lineRule="auto" w:line="360" w:before="0" w:after="280"/>
        <w:jc w:val="start"/>
        <w:outlineLvl w:val="2"/>
        <w:rPr>
          <w:rFonts w:ascii="宋体" w:hAnsi="宋体" w:cs="宋体" w:hint="eastAsia"/>
          <w:b/>
          <w:color w:val="0070C0"/>
          <w:szCs w:val="21"/>
        </w:rPr>
      </w:pPr>
      <w:r>
        <w:rPr>
          <w:rFonts w:ascii="宋体" w:hAnsi="宋体" w:cs="宋体" w:hint="eastAsia"/>
          <w:b/>
          <w:color w:val="0070C0"/>
          <w:szCs w:val="21"/>
        </w:rPr>
        <w:t>课程设置</w:t>
      </w:r>
    </w:p>
    <w:tbl>
      <w:tblPr>
        <w:tblW w:w="8449" w:type="dxa"/>
        <w:jc w:val="start"/>
        <w:tblInd w:w="0" w:type="dxa"/>
        <w:tblLayout w:type="fixed"/>
        <w:tblCellMar>
          <w:top w:w="0" w:type="dxa"/>
          <w:start w:w="108" w:type="dxa"/>
          <w:bottom w:w="0" w:type="dxa"/>
          <w:end w:w="108" w:type="dxa"/>
        </w:tblCellMar>
      </w:tblPr>
      <w:tblGrid>
        <w:gridCol w:w="2239"/>
        <w:gridCol w:w="2730"/>
        <w:gridCol w:w="3480"/>
      </w:tblGrid>
      <w:tr>
        <w:trPr>
          <w:trHeight w:val="567" w:hRule="atLeast"/>
        </w:trPr>
        <w:tc>
          <w:tcPr>
            <w:tcW w:w="8449" w:type="dxa"/>
            <w:gridSpan w:val="3"/>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100" w:after="0"/>
              <w:contextualSpacing/>
              <w:jc w:val="center"/>
              <w:outlineLvl w:val="2"/>
              <w:rPr>
                <w:rFonts w:ascii="宋体" w:hAnsi="宋体" w:cs="宋体" w:hint="eastAsia"/>
                <w:b/>
                <w:bCs/>
                <w:szCs w:val="21"/>
              </w:rPr>
            </w:pPr>
            <w:r>
              <w:rPr>
                <w:rFonts w:ascii="宋体" w:hAnsi="宋体" w:cs="宋体" w:hint="eastAsia"/>
                <w:b/>
                <w:szCs w:val="21"/>
              </w:rPr>
              <w:t>制药工程</w:t>
            </w:r>
            <w:r>
              <w:rPr>
                <w:rFonts w:ascii="宋体" w:hAnsi="宋体" w:cs="宋体"/>
                <w:b/>
                <w:szCs w:val="21"/>
              </w:rPr>
              <w:t>专业课程设置</w:t>
            </w:r>
          </w:p>
        </w:tc>
      </w:tr>
      <w:tr>
        <w:trPr>
          <w:trHeight w:val="567" w:hRule="atLeast"/>
        </w:trPr>
        <w:tc>
          <w:tcPr>
            <w:tcW w:w="2239"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szCs w:val="21"/>
              </w:rPr>
            </w:pPr>
            <w:r>
              <w:rPr>
                <w:rFonts w:ascii="宋体" w:hAnsi="宋体" w:cs="宋体" w:hint="eastAsia"/>
                <w:szCs w:val="21"/>
              </w:rPr>
              <w:t>综合英语</w:t>
            </w:r>
          </w:p>
        </w:tc>
        <w:tc>
          <w:tcPr>
            <w:tcW w:w="273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szCs w:val="21"/>
              </w:rPr>
            </w:pPr>
            <w:r>
              <w:rPr>
                <w:rFonts w:ascii="宋体" w:hAnsi="宋体" w:cs="宋体" w:hint="eastAsia"/>
                <w:szCs w:val="21"/>
              </w:rPr>
              <w:t>工程伦理</w:t>
            </w:r>
          </w:p>
        </w:tc>
        <w:tc>
          <w:tcPr>
            <w:tcW w:w="34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szCs w:val="21"/>
              </w:rPr>
            </w:pPr>
            <w:r>
              <w:rPr>
                <w:rFonts w:ascii="宋体" w:hAnsi="宋体" w:cs="宋体" w:hint="eastAsia"/>
                <w:szCs w:val="21"/>
              </w:rPr>
              <w:t>中国特色社会主义理论与实践研究</w:t>
            </w:r>
          </w:p>
        </w:tc>
      </w:tr>
      <w:tr>
        <w:trPr>
          <w:trHeight w:val="567" w:hRule="atLeast"/>
        </w:trPr>
        <w:tc>
          <w:tcPr>
            <w:tcW w:w="2239"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szCs w:val="21"/>
              </w:rPr>
            </w:pPr>
            <w:r>
              <w:rPr>
                <w:rFonts w:ascii="宋体" w:hAnsi="宋体" w:cs="宋体" w:hint="eastAsia"/>
                <w:szCs w:val="21"/>
              </w:rPr>
              <w:t>研究方法与论文写作</w:t>
            </w:r>
          </w:p>
        </w:tc>
        <w:tc>
          <w:tcPr>
            <w:tcW w:w="273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szCs w:val="21"/>
              </w:rPr>
            </w:pPr>
            <w:r>
              <w:rPr>
                <w:rFonts w:ascii="宋体" w:hAnsi="宋体" w:cs="宋体" w:hint="eastAsia"/>
                <w:szCs w:val="21"/>
              </w:rPr>
              <w:t>最优化方法</w:t>
            </w:r>
          </w:p>
        </w:tc>
        <w:tc>
          <w:tcPr>
            <w:tcW w:w="34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szCs w:val="21"/>
              </w:rPr>
            </w:pPr>
            <w:r>
              <w:rPr>
                <w:rFonts w:ascii="宋体" w:hAnsi="宋体" w:cs="宋体" w:hint="eastAsia"/>
                <w:szCs w:val="21"/>
              </w:rPr>
              <w:t>自然辩证法概论</w:t>
            </w:r>
          </w:p>
        </w:tc>
      </w:tr>
      <w:tr>
        <w:trPr>
          <w:trHeight w:val="567" w:hRule="atLeast"/>
        </w:trPr>
        <w:tc>
          <w:tcPr>
            <w:tcW w:w="2239"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szCs w:val="21"/>
              </w:rPr>
            </w:pPr>
            <w:r>
              <w:rPr>
                <w:rFonts w:ascii="宋体" w:hAnsi="宋体" w:cs="宋体" w:hint="eastAsia"/>
                <w:szCs w:val="21"/>
              </w:rPr>
              <w:t>学科前沿讲座</w:t>
            </w:r>
          </w:p>
        </w:tc>
        <w:tc>
          <w:tcPr>
            <w:tcW w:w="273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szCs w:val="21"/>
              </w:rPr>
            </w:pPr>
            <w:r>
              <w:rPr>
                <w:rFonts w:ascii="宋体" w:hAnsi="宋体" w:cs="宋体" w:hint="eastAsia"/>
                <w:szCs w:val="21"/>
              </w:rPr>
              <w:t>新药研究与开发</w:t>
            </w:r>
          </w:p>
        </w:tc>
        <w:tc>
          <w:tcPr>
            <w:tcW w:w="34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szCs w:val="21"/>
              </w:rPr>
            </w:pPr>
            <w:r>
              <w:rPr>
                <w:rFonts w:ascii="宋体" w:hAnsi="宋体" w:cs="宋体" w:hint="eastAsia"/>
                <w:szCs w:val="21"/>
              </w:rPr>
              <w:t>药物统计分析</w:t>
            </w:r>
          </w:p>
        </w:tc>
      </w:tr>
      <w:tr>
        <w:trPr>
          <w:trHeight w:val="567" w:hRule="atLeast"/>
        </w:trPr>
        <w:tc>
          <w:tcPr>
            <w:tcW w:w="2239"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现代药剂学</w:t>
            </w:r>
          </w:p>
        </w:tc>
        <w:tc>
          <w:tcPr>
            <w:tcW w:w="273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药用高分子材料</w:t>
            </w:r>
          </w:p>
        </w:tc>
        <w:tc>
          <w:tcPr>
            <w:tcW w:w="34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现代制药分离工程与技术</w:t>
            </w:r>
          </w:p>
        </w:tc>
      </w:tr>
      <w:tr>
        <w:trPr>
          <w:trHeight w:val="567" w:hRule="atLeast"/>
        </w:trPr>
        <w:tc>
          <w:tcPr>
            <w:tcW w:w="2239"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高等药物化学</w:t>
            </w:r>
          </w:p>
        </w:tc>
        <w:tc>
          <w:tcPr>
            <w:tcW w:w="273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技术经济学</w:t>
            </w:r>
          </w:p>
        </w:tc>
        <w:tc>
          <w:tcPr>
            <w:tcW w:w="34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有机化合物结构鉴定</w:t>
            </w:r>
          </w:p>
        </w:tc>
      </w:tr>
      <w:tr>
        <w:trPr>
          <w:trHeight w:val="567" w:hRule="atLeast"/>
        </w:trPr>
        <w:tc>
          <w:tcPr>
            <w:tcW w:w="2239"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高等药理学</w:t>
            </w:r>
          </w:p>
        </w:tc>
        <w:tc>
          <w:tcPr>
            <w:tcW w:w="273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制药过程开发与工程放大</w:t>
            </w:r>
          </w:p>
        </w:tc>
        <w:tc>
          <w:tcPr>
            <w:tcW w:w="34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napToGrid w:val="false"/>
              <w:spacing w:lineRule="auto" w:line="360" w:before="0" w:after="0"/>
              <w:jc w:val="center"/>
              <w:outlineLvl w:val="2"/>
              <w:rPr>
                <w:rFonts w:ascii="宋体" w:hAnsi="宋体" w:cs="宋体" w:hint="eastAsia"/>
                <w:szCs w:val="21"/>
              </w:rPr>
            </w:pPr>
            <w:r>
              <w:rPr>
                <w:rFonts w:cs="宋体" w:hint="eastAsia" w:ascii="宋体" w:hAnsi="宋体"/>
                <w:szCs w:val="21"/>
              </w:rPr>
            </w:r>
          </w:p>
        </w:tc>
      </w:tr>
    </w:tbl>
    <w:p>
      <w:pPr>
        <w:pStyle w:val="Style18"/>
        <w:snapToGrid w:val="false"/>
        <w:spacing w:lineRule="auto" w:line="360" w:before="100" w:after="100"/>
        <w:ind w:firstLineChars="1300" w:startChars="0" w:start="0" w:endChars="0" w:end="0"/>
        <w:contextualSpacing/>
        <w:rPr>
          <w:rFonts w:hint="eastAsia"/>
          <w:sz w:val="21"/>
          <w:szCs w:val="21"/>
        </w:rPr>
      </w:pPr>
      <w:r>
        <w:rPr>
          <w:rFonts w:hint="eastAsia"/>
          <w:sz w:val="21"/>
          <w:szCs w:val="21"/>
        </w:rPr>
        <w:t>注：部分课程教学参照实际</w:t>
      </w:r>
    </w:p>
    <w:p>
      <w:pPr>
        <w:pStyle w:val="Style18"/>
        <w:snapToGrid w:val="false"/>
        <w:spacing w:lineRule="auto" w:line="360" w:before="100" w:after="100"/>
        <w:contextualSpacing/>
        <w:rPr>
          <w:rFonts w:hint="eastAsia"/>
          <w:sz w:val="21"/>
          <w:szCs w:val="21"/>
        </w:rPr>
      </w:pPr>
      <w:r>
        <w:rPr>
          <w:rFonts w:hint="eastAsia"/>
          <w:sz w:val="21"/>
          <w:szCs w:val="21"/>
        </w:rPr>
      </w:r>
    </w:p>
    <w:p>
      <w:pPr>
        <w:pStyle w:val="Style18"/>
        <w:snapToGrid w:val="false"/>
        <w:spacing w:lineRule="auto" w:line="360" w:before="100" w:after="100"/>
        <w:contextualSpacing/>
        <w:rPr>
          <w:rFonts w:hint="eastAsia"/>
          <w:sz w:val="21"/>
          <w:szCs w:val="21"/>
        </w:rPr>
      </w:pPr>
      <w:r>
        <w:rPr>
          <w:rFonts w:hint="eastAsia"/>
          <w:sz w:val="21"/>
          <w:szCs w:val="21"/>
        </w:rPr>
      </w:r>
    </w:p>
    <w:p>
      <w:pPr>
        <w:pStyle w:val="Style18"/>
        <w:snapToGrid w:val="false"/>
        <w:spacing w:lineRule="auto" w:line="360" w:before="100" w:after="100"/>
        <w:contextualSpacing/>
        <w:rPr>
          <w:b/>
          <w:color w:val="0070C0"/>
          <w:sz w:val="21"/>
          <w:szCs w:val="21"/>
        </w:rPr>
      </w:pPr>
      <w:r>
        <w:rPr>
          <w:rFonts w:hint="eastAsia"/>
          <w:b/>
          <w:color w:val="0070C0"/>
          <w:sz w:val="21"/>
          <w:szCs w:val="21"/>
        </w:rPr>
        <w:t>五</w:t>
      </w:r>
      <w:r>
        <w:rPr>
          <w:b/>
          <w:color w:val="0070C0"/>
          <w:sz w:val="21"/>
          <w:szCs w:val="21"/>
        </w:rPr>
        <w:t>、报考条件</w:t>
      </w:r>
    </w:p>
    <w:p>
      <w:pPr>
        <w:pStyle w:val="Style18"/>
        <w:snapToGrid w:val="false"/>
        <w:spacing w:lineRule="auto" w:line="360" w:before="100" w:after="100"/>
        <w:contextualSpacing/>
        <w:rPr>
          <w:sz w:val="21"/>
          <w:szCs w:val="21"/>
        </w:rPr>
      </w:pPr>
      <w:r>
        <w:rPr>
          <w:sz w:val="21"/>
          <w:szCs w:val="21"/>
        </w:rPr>
        <w:t>　</w:t>
      </w:r>
      <w:r>
        <w:rPr>
          <w:sz w:val="21"/>
          <w:szCs w:val="21"/>
        </w:rPr>
        <w:t>1</w:t>
      </w:r>
      <w:r>
        <w:rPr>
          <w:rFonts w:hint="eastAsia"/>
          <w:sz w:val="21"/>
          <w:szCs w:val="21"/>
        </w:rPr>
        <w:t>.</w:t>
      </w:r>
      <w:r>
        <w:rPr>
          <w:sz w:val="21"/>
          <w:szCs w:val="21"/>
        </w:rPr>
        <w:t>遵纪守法，品行端正，在教学</w:t>
      </w:r>
      <w:r>
        <w:rPr>
          <w:rFonts w:hint="eastAsia"/>
          <w:sz w:val="21"/>
          <w:szCs w:val="21"/>
        </w:rPr>
        <w:t>、</w:t>
      </w:r>
      <w:r>
        <w:rPr>
          <w:sz w:val="21"/>
          <w:szCs w:val="21"/>
        </w:rPr>
        <w:t>科研、专门技术、管理等方面做出成绩的在职人员</w:t>
      </w:r>
      <w:r>
        <w:rPr>
          <w:rFonts w:hint="eastAsia"/>
          <w:sz w:val="21"/>
          <w:szCs w:val="21"/>
        </w:rPr>
        <w:t>；</w:t>
      </w:r>
    </w:p>
    <w:p>
      <w:pPr>
        <w:pStyle w:val="Style18"/>
        <w:snapToGrid w:val="false"/>
        <w:spacing w:lineRule="auto" w:line="360" w:before="100" w:after="100"/>
        <w:contextualSpacing/>
        <w:rPr>
          <w:sz w:val="21"/>
          <w:szCs w:val="21"/>
        </w:rPr>
      </w:pPr>
      <w:r>
        <w:rPr>
          <w:sz w:val="21"/>
          <w:szCs w:val="21"/>
        </w:rPr>
        <w:t>　</w:t>
      </w:r>
      <w:r>
        <w:rPr>
          <w:sz w:val="21"/>
          <w:szCs w:val="21"/>
        </w:rPr>
        <w:t>2</w:t>
      </w:r>
      <w:r>
        <w:rPr>
          <w:rFonts w:hint="eastAsia"/>
          <w:sz w:val="21"/>
          <w:szCs w:val="21"/>
        </w:rPr>
        <w:t>.</w:t>
      </w:r>
      <w:r>
        <w:rPr>
          <w:rFonts w:hint="eastAsia"/>
          <w:sz w:val="21"/>
          <w:szCs w:val="21"/>
        </w:rPr>
        <w:t>前置专业与报读专业相仿，</w:t>
      </w:r>
      <w:r>
        <w:rPr>
          <w:sz w:val="21"/>
          <w:szCs w:val="21"/>
        </w:rPr>
        <w:t>已获得学士学位，并在获得学士学位后工作三年以上，或虽无学士学位但已获得硕士或博士学位。对已获得学士、硕士或博士学位为国</w:t>
      </w:r>
      <w:r>
        <w:rPr>
          <w:sz w:val="21"/>
          <w:szCs w:val="21"/>
        </w:rPr>
        <w:t>(</w:t>
      </w:r>
      <w:r>
        <w:rPr>
          <w:sz w:val="21"/>
          <w:szCs w:val="21"/>
        </w:rPr>
        <w:t>境</w:t>
      </w:r>
      <w:r>
        <w:rPr>
          <w:sz w:val="21"/>
          <w:szCs w:val="21"/>
        </w:rPr>
        <w:t>)</w:t>
      </w:r>
      <w:r>
        <w:rPr>
          <w:sz w:val="21"/>
          <w:szCs w:val="21"/>
        </w:rPr>
        <w:t>外学位的，其所获的国</w:t>
      </w:r>
      <w:r>
        <w:rPr>
          <w:sz w:val="21"/>
          <w:szCs w:val="21"/>
        </w:rPr>
        <w:t>(</w:t>
      </w:r>
      <w:r>
        <w:rPr>
          <w:sz w:val="21"/>
          <w:szCs w:val="21"/>
        </w:rPr>
        <w:t>境</w:t>
      </w:r>
      <w:r>
        <w:rPr>
          <w:sz w:val="21"/>
          <w:szCs w:val="21"/>
        </w:rPr>
        <w:t>)</w:t>
      </w:r>
      <w:r>
        <w:rPr>
          <w:sz w:val="21"/>
          <w:szCs w:val="21"/>
        </w:rPr>
        <w:t>外学位需经教育部留学服务中心认证</w:t>
      </w:r>
      <w:r>
        <w:rPr>
          <w:rFonts w:hint="eastAsia"/>
          <w:sz w:val="21"/>
          <w:szCs w:val="21"/>
        </w:rPr>
        <w:t>；</w:t>
      </w:r>
    </w:p>
    <w:p>
      <w:pPr>
        <w:pStyle w:val="Style18"/>
        <w:snapToGrid w:val="false"/>
        <w:spacing w:lineRule="auto" w:line="360" w:before="100" w:after="100"/>
        <w:contextualSpacing/>
        <w:rPr>
          <w:sz w:val="21"/>
          <w:szCs w:val="21"/>
        </w:rPr>
      </w:pPr>
      <w:r>
        <w:rPr>
          <w:rFonts w:hint="eastAsia"/>
          <w:sz w:val="21"/>
          <w:szCs w:val="21"/>
        </w:rPr>
        <w:t xml:space="preserve">  </w:t>
      </w:r>
      <w:r>
        <w:rPr>
          <w:rFonts w:hint="eastAsia"/>
          <w:sz w:val="21"/>
          <w:szCs w:val="21"/>
        </w:rPr>
        <w:t>3.</w:t>
      </w:r>
      <w:r>
        <w:rPr>
          <w:sz w:val="21"/>
          <w:szCs w:val="21"/>
        </w:rPr>
        <w:t>大专学历和本科学历无学士学位者，可参加研修班课程学习。</w:t>
      </w:r>
    </w:p>
    <w:p>
      <w:pPr>
        <w:pStyle w:val="Style18"/>
        <w:snapToGrid w:val="false"/>
        <w:spacing w:lineRule="auto" w:line="360" w:before="100" w:after="100"/>
        <w:ind w:firstLineChars="200" w:startChars="0" w:start="0" w:endChars="0" w:end="0"/>
        <w:contextualSpacing/>
        <w:rPr>
          <w:rFonts w:hint="eastAsia"/>
          <w:sz w:val="21"/>
          <w:szCs w:val="21"/>
        </w:rPr>
      </w:pPr>
      <w:r>
        <w:rPr>
          <w:rFonts w:hint="eastAsia"/>
          <w:sz w:val="21"/>
          <w:szCs w:val="21"/>
        </w:rPr>
      </w:r>
    </w:p>
    <w:p>
      <w:pPr>
        <w:pStyle w:val="Style18"/>
        <w:snapToGrid w:val="false"/>
        <w:spacing w:lineRule="auto" w:line="360" w:before="100" w:after="100"/>
        <w:ind w:firstLineChars="200" w:startChars="0" w:start="0" w:endChars="0" w:end="0"/>
        <w:contextualSpacing/>
        <w:rPr>
          <w:rFonts w:hint="eastAsia"/>
          <w:sz w:val="21"/>
          <w:szCs w:val="21"/>
        </w:rPr>
      </w:pPr>
      <w:r>
        <w:rPr>
          <w:rFonts w:hint="eastAsia"/>
          <w:sz w:val="21"/>
          <w:szCs w:val="21"/>
        </w:rPr>
      </w:r>
    </w:p>
    <w:p>
      <w:pPr>
        <w:pStyle w:val="Style18"/>
        <w:snapToGrid w:val="false"/>
        <w:spacing w:lineRule="auto" w:line="360" w:before="100" w:after="100"/>
        <w:contextualSpacing/>
        <w:rPr>
          <w:rFonts w:hint="eastAsia"/>
          <w:b/>
          <w:color w:val="0070C0"/>
          <w:sz w:val="21"/>
          <w:szCs w:val="21"/>
        </w:rPr>
      </w:pPr>
      <w:r>
        <w:rPr>
          <w:rFonts w:hint="eastAsia"/>
          <w:b/>
          <w:color w:val="0070C0"/>
          <w:sz w:val="21"/>
          <w:szCs w:val="21"/>
        </w:rPr>
        <w:t>六</w:t>
      </w:r>
      <w:r>
        <w:rPr>
          <w:b/>
          <w:color w:val="0070C0"/>
          <w:sz w:val="21"/>
          <w:szCs w:val="21"/>
        </w:rPr>
        <w:t>、报名材料</w:t>
      </w:r>
    </w:p>
    <w:p>
      <w:pPr>
        <w:pStyle w:val="Style18"/>
        <w:snapToGrid w:val="false"/>
        <w:spacing w:lineRule="auto" w:line="360" w:before="100" w:after="100"/>
        <w:ind w:firstLineChars="200" w:startChars="0" w:start="0" w:endChars="0" w:end="0"/>
        <w:contextualSpacing/>
        <w:rPr>
          <w:sz w:val="21"/>
          <w:szCs w:val="21"/>
        </w:rPr>
      </w:pPr>
      <w:r>
        <w:rPr>
          <w:sz w:val="21"/>
          <w:szCs w:val="21"/>
        </w:rPr>
        <w:t>1.</w:t>
      </w:r>
      <w:r>
        <w:rPr>
          <w:sz w:val="21"/>
          <w:szCs w:val="21"/>
        </w:rPr>
        <w:t>填写《武汉工程</w:t>
      </w:r>
      <w:r>
        <w:rPr>
          <w:rFonts w:hint="eastAsia"/>
          <w:sz w:val="21"/>
          <w:szCs w:val="21"/>
        </w:rPr>
        <w:t>大学</w:t>
      </w:r>
      <w:r>
        <w:rPr>
          <w:sz w:val="21"/>
          <w:szCs w:val="21"/>
        </w:rPr>
        <w:t>同等学力申请硕士学位课程培养报名表》；</w:t>
      </w:r>
    </w:p>
    <w:p>
      <w:pPr>
        <w:pStyle w:val="Style18"/>
        <w:snapToGrid w:val="false"/>
        <w:spacing w:lineRule="auto" w:line="360" w:before="100" w:after="100"/>
        <w:ind w:firstLineChars="200" w:startChars="0" w:start="0" w:endChars="0" w:end="0"/>
        <w:contextualSpacing/>
        <w:rPr>
          <w:sz w:val="21"/>
          <w:szCs w:val="21"/>
        </w:rPr>
      </w:pPr>
      <w:r>
        <w:rPr>
          <w:sz w:val="21"/>
          <w:szCs w:val="21"/>
        </w:rPr>
        <w:t xml:space="preserve">2. </w:t>
      </w:r>
      <w:r>
        <w:rPr>
          <w:sz w:val="21"/>
          <w:szCs w:val="21"/>
        </w:rPr>
        <w:t>本科毕业证和学士学位证原件扫描件；</w:t>
      </w:r>
    </w:p>
    <w:p>
      <w:pPr>
        <w:pStyle w:val="Style18"/>
        <w:snapToGrid w:val="false"/>
        <w:spacing w:lineRule="auto" w:line="360" w:before="100" w:after="100"/>
        <w:ind w:firstLineChars="200" w:startChars="0" w:start="0" w:endChars="0" w:end="0"/>
        <w:contextualSpacing/>
        <w:rPr>
          <w:sz w:val="21"/>
          <w:szCs w:val="21"/>
        </w:rPr>
      </w:pPr>
      <w:r>
        <w:rPr>
          <w:sz w:val="21"/>
          <w:szCs w:val="21"/>
        </w:rPr>
        <w:t xml:space="preserve">3. </w:t>
      </w:r>
      <w:r>
        <w:rPr>
          <w:sz w:val="21"/>
          <w:szCs w:val="21"/>
        </w:rPr>
        <w:t>身份证原件及正反面扫描件；</w:t>
      </w:r>
    </w:p>
    <w:p>
      <w:pPr>
        <w:pStyle w:val="Style18"/>
        <w:snapToGrid w:val="false"/>
        <w:spacing w:lineRule="auto" w:line="360" w:before="100" w:after="100"/>
        <w:ind w:firstLineChars="200" w:startChars="0" w:start="0" w:endChars="0" w:end="0"/>
        <w:contextualSpacing/>
        <w:rPr>
          <w:b/>
          <w:sz w:val="21"/>
          <w:szCs w:val="21"/>
        </w:rPr>
      </w:pPr>
      <w:r>
        <w:rPr>
          <w:sz w:val="21"/>
          <w:szCs w:val="21"/>
        </w:rPr>
        <w:t>4.</w:t>
      </w:r>
      <w:r>
        <w:rPr>
          <w:sz w:val="21"/>
          <w:szCs w:val="21"/>
        </w:rPr>
        <w:t>近期正面蓝底两寸数码彩照。</w:t>
      </w:r>
    </w:p>
    <w:p>
      <w:pPr>
        <w:pStyle w:val="Style18"/>
        <w:snapToGrid w:val="false"/>
        <w:spacing w:lineRule="auto" w:line="360" w:before="100" w:after="100"/>
        <w:contextualSpacing/>
        <w:rPr>
          <w:rFonts w:hint="eastAsia"/>
          <w:b/>
          <w:sz w:val="21"/>
          <w:szCs w:val="21"/>
        </w:rPr>
      </w:pPr>
      <w:r>
        <w:rPr>
          <w:rFonts w:hint="eastAsia"/>
          <w:b/>
          <w:sz w:val="21"/>
          <w:szCs w:val="21"/>
        </w:rPr>
      </w:r>
    </w:p>
    <w:p>
      <w:pPr>
        <w:pStyle w:val="Style18"/>
        <w:snapToGrid w:val="false"/>
        <w:spacing w:lineRule="auto" w:line="360" w:before="100" w:after="100"/>
        <w:contextualSpacing/>
        <w:rPr>
          <w:b/>
          <w:color w:val="0070C0"/>
          <w:sz w:val="21"/>
          <w:szCs w:val="21"/>
        </w:rPr>
      </w:pPr>
      <w:r>
        <w:rPr>
          <w:rFonts w:hint="eastAsia"/>
          <w:b/>
          <w:color w:val="0070C0"/>
          <w:sz w:val="21"/>
          <w:szCs w:val="21"/>
        </w:rPr>
        <w:t>七</w:t>
      </w:r>
      <w:r>
        <w:rPr>
          <w:b/>
          <w:color w:val="0070C0"/>
          <w:sz w:val="21"/>
          <w:szCs w:val="21"/>
        </w:rPr>
        <w:t>、培养方式</w:t>
      </w:r>
    </w:p>
    <w:p>
      <w:pPr>
        <w:pStyle w:val="Style18"/>
        <w:snapToGrid w:val="false"/>
        <w:spacing w:lineRule="auto" w:line="360" w:before="100" w:after="100"/>
        <w:contextualSpacing/>
        <w:rPr>
          <w:sz w:val="21"/>
          <w:szCs w:val="21"/>
        </w:rPr>
      </w:pPr>
      <w:r>
        <w:rPr>
          <w:sz w:val="21"/>
          <w:szCs w:val="21"/>
        </w:rPr>
        <w:t>　　</w:t>
      </w:r>
      <w:r>
        <w:rPr>
          <w:rFonts w:hint="eastAsia"/>
          <w:sz w:val="21"/>
          <w:szCs w:val="21"/>
        </w:rPr>
        <w:t>1.</w:t>
      </w:r>
      <w:r>
        <w:rPr>
          <w:sz w:val="21"/>
          <w:szCs w:val="21"/>
        </w:rPr>
        <w:t>学制：</w:t>
      </w:r>
      <w:r>
        <w:rPr>
          <w:rFonts w:hint="eastAsia"/>
          <w:sz w:val="21"/>
          <w:szCs w:val="21"/>
        </w:rPr>
        <w:t>1-1.5</w:t>
      </w:r>
      <w:r>
        <w:rPr>
          <w:rFonts w:hint="eastAsia"/>
          <w:sz w:val="21"/>
          <w:szCs w:val="21"/>
        </w:rPr>
        <w:t>年</w:t>
      </w:r>
      <w:r>
        <w:rPr>
          <w:sz w:val="21"/>
          <w:szCs w:val="21"/>
        </w:rPr>
        <w:t>；</w:t>
      </w:r>
    </w:p>
    <w:p>
      <w:pPr>
        <w:pStyle w:val="Style18"/>
        <w:snapToGrid w:val="false"/>
        <w:spacing w:lineRule="auto" w:line="360" w:before="100" w:after="100"/>
        <w:ind w:firstLineChars="200" w:startChars="0" w:start="0" w:endChars="0" w:end="0"/>
        <w:contextualSpacing/>
        <w:rPr>
          <w:sz w:val="21"/>
          <w:szCs w:val="21"/>
        </w:rPr>
      </w:pPr>
      <w:r>
        <w:rPr>
          <w:sz w:val="21"/>
          <w:szCs w:val="21"/>
        </w:rPr>
        <w:t>2</w:t>
      </w:r>
      <w:r>
        <w:rPr>
          <w:rFonts w:hint="eastAsia"/>
          <w:sz w:val="21"/>
          <w:szCs w:val="21"/>
        </w:rPr>
        <w:t>.</w:t>
      </w:r>
      <w:r>
        <w:rPr>
          <w:rFonts w:hint="eastAsia"/>
          <w:sz w:val="21"/>
          <w:szCs w:val="21"/>
        </w:rPr>
        <w:t>面</w:t>
      </w:r>
      <w:r>
        <w:rPr>
          <w:sz w:val="21"/>
          <w:szCs w:val="21"/>
        </w:rPr>
        <w:t>授课：双休日授课，由武汉工程大学硕士生导师和博士生导师面授</w:t>
      </w:r>
      <w:r>
        <w:rPr>
          <w:rFonts w:hint="eastAsia"/>
          <w:sz w:val="21"/>
          <w:szCs w:val="21"/>
        </w:rPr>
        <w:t>；</w:t>
      </w:r>
    </w:p>
    <w:p>
      <w:pPr>
        <w:pStyle w:val="Style18"/>
        <w:snapToGrid w:val="false"/>
        <w:spacing w:lineRule="auto" w:line="360" w:before="100" w:after="100"/>
        <w:ind w:firstLineChars="200" w:startChars="0" w:start="0" w:endChars="0" w:end="0"/>
        <w:contextualSpacing/>
        <w:rPr>
          <w:rFonts w:hint="eastAsia"/>
          <w:sz w:val="21"/>
          <w:szCs w:val="21"/>
        </w:rPr>
      </w:pPr>
      <w:r>
        <w:rPr>
          <w:sz w:val="21"/>
          <w:szCs w:val="21"/>
        </w:rPr>
        <w:t>3</w:t>
      </w:r>
      <w:r>
        <w:rPr>
          <w:rFonts w:hint="eastAsia"/>
          <w:sz w:val="21"/>
          <w:szCs w:val="21"/>
        </w:rPr>
        <w:t>.</w:t>
      </w:r>
      <w:r>
        <w:rPr>
          <w:rFonts w:hint="eastAsia"/>
          <w:sz w:val="21"/>
          <w:szCs w:val="21"/>
        </w:rPr>
        <w:t>网络课：异地学员</w:t>
      </w:r>
      <w:r>
        <w:rPr>
          <w:sz w:val="21"/>
          <w:szCs w:val="21"/>
        </w:rPr>
        <w:t>可进行网络课程学习，</w:t>
      </w:r>
      <w:r>
        <w:rPr>
          <w:rFonts w:hint="eastAsia"/>
          <w:sz w:val="21"/>
          <w:szCs w:val="21"/>
        </w:rPr>
        <w:t>不受</w:t>
      </w:r>
      <w:r>
        <w:rPr>
          <w:sz w:val="21"/>
          <w:szCs w:val="21"/>
        </w:rPr>
        <w:t>时间</w:t>
      </w:r>
      <w:r>
        <w:rPr>
          <w:rFonts w:hint="eastAsia"/>
          <w:sz w:val="21"/>
          <w:szCs w:val="21"/>
        </w:rPr>
        <w:t>、</w:t>
      </w:r>
      <w:r>
        <w:rPr>
          <w:sz w:val="21"/>
          <w:szCs w:val="21"/>
        </w:rPr>
        <w:t>地址限制。</w:t>
      </w:r>
    </w:p>
    <w:p>
      <w:pPr>
        <w:pStyle w:val="Style18"/>
        <w:snapToGrid w:val="false"/>
        <w:spacing w:lineRule="auto" w:line="360" w:before="100" w:after="100"/>
        <w:ind w:firstLineChars="200" w:startChars="0" w:start="0" w:endChars="0" w:end="0"/>
        <w:contextualSpacing/>
        <w:rPr>
          <w:sz w:val="21"/>
          <w:szCs w:val="21"/>
        </w:rPr>
      </w:pPr>
      <w:r>
        <w:rPr>
          <w:rFonts w:hint="eastAsia"/>
          <w:sz w:val="21"/>
          <w:szCs w:val="21"/>
        </w:rPr>
      </w:r>
    </w:p>
    <w:p>
      <w:pPr>
        <w:pStyle w:val="Style18"/>
        <w:numPr>
          <w:ilvl w:val="0"/>
          <w:numId w:val="4"/>
        </w:numPr>
        <w:snapToGrid w:val="false"/>
        <w:spacing w:lineRule="auto" w:line="360" w:before="100" w:after="280"/>
        <w:rPr>
          <w:rFonts w:hint="eastAsia"/>
          <w:b/>
          <w:color w:val="0070C0"/>
          <w:sz w:val="21"/>
          <w:szCs w:val="21"/>
        </w:rPr>
      </w:pPr>
      <w:r>
        <w:rPr>
          <w:rFonts w:hint="eastAsia"/>
          <w:b/>
          <w:color w:val="0070C0"/>
          <w:sz w:val="21"/>
          <w:szCs w:val="21"/>
        </w:rPr>
        <w:t>收费标准</w:t>
      </w:r>
    </w:p>
    <w:p>
      <w:pPr>
        <w:pStyle w:val="Style18"/>
        <w:snapToGrid w:val="false"/>
        <w:spacing w:lineRule="auto" w:line="360" w:before="100" w:after="100"/>
        <w:ind w:firstLineChars="200" w:startChars="0" w:start="0" w:endChars="0" w:end="0"/>
        <w:contextualSpacing/>
        <w:rPr>
          <w:rFonts w:hint="eastAsia"/>
          <w:color w:val="000000"/>
          <w:sz w:val="21"/>
          <w:szCs w:val="21"/>
        </w:rPr>
      </w:pPr>
      <w:r>
        <w:rPr>
          <w:rFonts w:hint="eastAsia"/>
          <w:color w:val="000000"/>
          <w:sz w:val="21"/>
          <w:szCs w:val="21"/>
        </w:rPr>
        <w:t>学费</w:t>
      </w:r>
      <w:r>
        <w:rPr>
          <w:rFonts w:hint="eastAsia"/>
          <w:color w:val="000000"/>
          <w:sz w:val="21"/>
          <w:szCs w:val="21"/>
        </w:rPr>
        <w:t>20000</w:t>
      </w:r>
      <w:r>
        <w:rPr>
          <w:rFonts w:hint="eastAsia"/>
          <w:color w:val="000000"/>
          <w:sz w:val="21"/>
          <w:szCs w:val="21"/>
        </w:rPr>
        <w:t>，论文答辩费</w:t>
      </w:r>
      <w:r>
        <w:rPr>
          <w:rFonts w:hint="eastAsia"/>
          <w:color w:val="000000"/>
          <w:sz w:val="21"/>
          <w:szCs w:val="21"/>
        </w:rPr>
        <w:t>12000</w:t>
      </w:r>
    </w:p>
    <w:p>
      <w:pPr>
        <w:pStyle w:val="Style18"/>
        <w:snapToGrid w:val="false"/>
        <w:spacing w:lineRule="auto" w:line="360" w:before="100" w:after="100"/>
        <w:contextualSpacing/>
        <w:rPr>
          <w:rFonts w:hint="eastAsia"/>
          <w:b/>
          <w:color w:val="0070C0"/>
          <w:sz w:val="21"/>
          <w:szCs w:val="21"/>
        </w:rPr>
      </w:pPr>
      <w:r>
        <w:rPr>
          <w:rFonts w:hint="eastAsia"/>
          <w:b/>
          <w:color w:val="0070C0"/>
          <w:sz w:val="21"/>
          <w:szCs w:val="21"/>
        </w:rPr>
      </w:r>
    </w:p>
    <w:p>
      <w:pPr>
        <w:pStyle w:val="Style18"/>
        <w:snapToGrid w:val="false"/>
        <w:spacing w:lineRule="auto" w:line="360" w:before="100" w:after="100"/>
        <w:contextualSpacing/>
        <w:rPr>
          <w:b/>
          <w:color w:val="0070C0"/>
          <w:sz w:val="21"/>
          <w:szCs w:val="21"/>
        </w:rPr>
      </w:pPr>
      <w:r>
        <w:rPr>
          <w:rFonts w:hint="eastAsia"/>
          <w:b/>
          <w:color w:val="0070C0"/>
          <w:sz w:val="21"/>
          <w:szCs w:val="21"/>
        </w:rPr>
        <w:t>九</w:t>
      </w:r>
      <w:r>
        <w:rPr>
          <w:b/>
          <w:color w:val="0070C0"/>
          <w:sz w:val="21"/>
          <w:szCs w:val="21"/>
        </w:rPr>
        <w:t>、</w:t>
      </w:r>
      <w:r>
        <w:rPr>
          <w:rFonts w:hint="eastAsia"/>
          <w:b/>
          <w:color w:val="0070C0"/>
          <w:sz w:val="21"/>
          <w:szCs w:val="21"/>
        </w:rPr>
        <w:t>获取证书</w:t>
      </w:r>
    </w:p>
    <w:p>
      <w:pPr>
        <w:pStyle w:val="Style18"/>
        <w:snapToGrid w:val="false"/>
        <w:spacing w:lineRule="auto" w:line="360" w:before="100" w:after="100"/>
        <w:ind w:firstLineChars="200" w:startChars="0" w:start="0" w:endChars="0" w:end="0"/>
        <w:contextualSpacing/>
        <w:rPr>
          <w:sz w:val="21"/>
          <w:szCs w:val="21"/>
        </w:rPr>
      </w:pPr>
      <w:r>
        <w:rPr>
          <w:sz w:val="21"/>
          <w:szCs w:val="21"/>
        </w:rPr>
        <w:t>1.</w:t>
      </w:r>
      <w:r>
        <w:rPr>
          <w:sz w:val="21"/>
          <w:szCs w:val="21"/>
        </w:rPr>
        <w:t>通过学校组织的学位课程考试，成绩合格者，可通过所在学院向研究生院申请领取《武汉工程大学同等学力人员申请硕士学位成绩合格证》</w:t>
      </w:r>
      <w:r>
        <w:rPr>
          <w:rFonts w:hint="eastAsia"/>
          <w:sz w:val="21"/>
          <w:szCs w:val="21"/>
        </w:rPr>
        <w:t>；</w:t>
      </w:r>
    </w:p>
    <w:p>
      <w:pPr>
        <w:pStyle w:val="Style18"/>
        <w:snapToGrid w:val="false"/>
        <w:spacing w:lineRule="auto" w:line="360" w:before="100" w:after="100"/>
        <w:ind w:firstLine="420" w:end="0"/>
        <w:contextualSpacing/>
        <w:rPr>
          <w:sz w:val="21"/>
          <w:szCs w:val="21"/>
        </w:rPr>
      </w:pPr>
      <w:r>
        <w:rPr>
          <w:sz w:val="21"/>
          <w:szCs w:val="21"/>
        </w:rPr>
        <w:t>2.</w:t>
      </w:r>
      <w:r>
        <w:rPr>
          <w:rFonts w:hint="eastAsia"/>
          <w:sz w:val="21"/>
          <w:szCs w:val="21"/>
        </w:rPr>
        <w:t>学员满足条件</w:t>
      </w:r>
      <w:r>
        <w:rPr>
          <w:sz w:val="21"/>
          <w:szCs w:val="21"/>
        </w:rPr>
        <w:t>参加</w:t>
      </w:r>
      <w:r>
        <w:rPr>
          <w:rFonts w:hint="eastAsia"/>
          <w:sz w:val="21"/>
          <w:szCs w:val="21"/>
        </w:rPr>
        <w:t>申硕</w:t>
      </w:r>
      <w:r>
        <w:rPr>
          <w:sz w:val="21"/>
          <w:szCs w:val="21"/>
        </w:rPr>
        <w:t>考试成绩合格并通过硕士学位论文答辩，并经武汉工程大学学位评定委员会审议，授予武汉工程大学</w:t>
      </w:r>
      <w:r>
        <w:rPr>
          <w:rFonts w:hint="eastAsia"/>
          <w:sz w:val="21"/>
          <w:szCs w:val="21"/>
        </w:rPr>
        <w:t>工</w:t>
      </w:r>
      <w:r>
        <w:rPr>
          <w:sz w:val="21"/>
          <w:szCs w:val="21"/>
        </w:rPr>
        <w:t>学硕士学位证书。</w:t>
      </w:r>
    </w:p>
    <w:p>
      <w:pPr>
        <w:pStyle w:val="Style18"/>
        <w:snapToGrid w:val="false"/>
        <w:spacing w:lineRule="auto" w:line="360" w:before="100" w:after="100"/>
        <w:contextualSpacing/>
        <w:rPr>
          <w:sz w:val="21"/>
          <w:szCs w:val="21"/>
        </w:rPr>
      </w:pPr>
      <w:r>
        <w:rPr>
          <w:sz w:val="21"/>
          <w:szCs w:val="21"/>
        </w:rPr>
      </w:r>
    </w:p>
    <w:p>
      <w:pPr>
        <w:pStyle w:val="Normal"/>
        <w:widowControl/>
        <w:numPr>
          <w:ilvl w:val="0"/>
          <w:numId w:val="0"/>
        </w:numPr>
        <w:spacing w:lineRule="auto" w:line="360" w:before="100" w:after="100"/>
        <w:contextualSpacing/>
        <w:jc w:val="start"/>
        <w:outlineLvl w:val="2"/>
        <w:rPr>
          <w:rFonts w:ascii="宋体" w:hAnsi="宋体" w:cs="宋体"/>
          <w:szCs w:val="21"/>
        </w:rPr>
      </w:pPr>
      <w:r>
        <w:rPr>
          <w:rFonts w:cs="宋体" w:ascii="宋体" w:hAnsi="宋体"/>
          <w:sz w:val="21"/>
          <w:szCs w:val="21"/>
        </w:rPr>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Times New Roman">
    <w:charset w:val="00" w:characterSet="windows-1252"/>
    <w:family w:val="roman"/>
    <w:pitch w:val="default"/>
  </w:font>
  <w:font w:name="宋体">
    <w:charset w:val="86"/>
    <w:family w:val="auto"/>
    <w:pitch w:val="default"/>
  </w:font>
  <w:font w:name="Liberation Sans">
    <w:altName w:val="Arial"/>
    <w:charset w:val="86"/>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lang w:val="zh-CN" w:eastAsia="zh-CN"/>
      </w:rPr>
      <w:drawing>
        <wp:anchor distT="0" distB="0" distL="114935" distR="114935" simplePos="0" relativeHeight="6" behindDoc="1" locked="0" layoutInCell="0" allowOverlap="1">
          <wp:simplePos x="0" y="0"/>
          <wp:positionH relativeFrom="margin">
            <wp:align>center</wp:align>
          </wp:positionH>
          <wp:positionV relativeFrom="margin">
            <wp:align>center</wp:align>
          </wp:positionV>
          <wp:extent cx="4110990" cy="4104005"/>
          <wp:effectExtent l="0" t="0" r="0" b="0"/>
          <wp:wrapNone/>
          <wp:docPr id="2" name="WordPictureWatermark44825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448256048"/>
                  <pic:cNvPicPr>
                    <a:picLocks noChangeAspect="1" noChangeArrowheads="1"/>
                  </pic:cNvPicPr>
                </pic:nvPicPr>
                <pic:blipFill>
                  <a:blip r:embed="rId1">
                    <a:lum bright="70000" contrast="-70000"/>
                  </a:blip>
                  <a:srcRect l="-6" t="-6" r="-6" b="-6"/>
                  <a:stretch>
                    <a:fillRect/>
                  </a:stretch>
                </pic:blipFill>
                <pic:spPr bwMode="auto">
                  <a:xfrm>
                    <a:off x="0" y="0"/>
                    <a:ext cx="4110990" cy="410400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pStyle w:val="Heading3"/>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8"/>
      <w:numFmt w:val="chineseCountingThousand"/>
      <w:lvlText w:val="%1、"/>
      <w:lvlJc w:val="start"/>
      <w:pPr>
        <w:tabs>
          <w:tab w:val="num" w:pos="0"/>
        </w:tabs>
        <w:ind w:start="450" w:hanging="450"/>
      </w:pPr>
      <w:rPr/>
    </w:lvl>
    <w:lvl w:ilvl="1">
      <w:start w:val="1"/>
      <w:numFmt w:val="lowerLetter"/>
      <w:lvlText w:val="%2)"/>
      <w:lvlJc w:val="start"/>
      <w:pPr>
        <w:tabs>
          <w:tab w:val="num" w:pos="0"/>
        </w:tabs>
        <w:ind w:start="840" w:hanging="420"/>
      </w:pPr>
    </w:lvl>
    <w:lvl w:ilvl="2">
      <w:start w:val="1"/>
      <w:numFmt w:val="lowerRoman"/>
      <w:lvlText w:val="%3."/>
      <w:lvlJc w:val="end"/>
      <w:pPr>
        <w:tabs>
          <w:tab w:val="num" w:pos="0"/>
        </w:tabs>
        <w:ind w:start="1260" w:hanging="420"/>
      </w:pPr>
    </w:lvl>
    <w:lvl w:ilvl="3">
      <w:start w:val="1"/>
      <w:numFmt w:val="decimal"/>
      <w:lvlText w:val="%4."/>
      <w:lvlJc w:val="start"/>
      <w:pPr>
        <w:tabs>
          <w:tab w:val="num" w:pos="0"/>
        </w:tabs>
        <w:ind w:start="1680" w:hanging="420"/>
      </w:pPr>
    </w:lvl>
    <w:lvl w:ilvl="4">
      <w:start w:val="1"/>
      <w:numFmt w:val="lowerLetter"/>
      <w:lvlText w:val="%5)"/>
      <w:lvlJc w:val="start"/>
      <w:pPr>
        <w:tabs>
          <w:tab w:val="num" w:pos="0"/>
        </w:tabs>
        <w:ind w:start="2100" w:hanging="420"/>
      </w:pPr>
    </w:lvl>
    <w:lvl w:ilvl="5">
      <w:start w:val="1"/>
      <w:numFmt w:val="lowerRoman"/>
      <w:lvlText w:val="%6."/>
      <w:lvlJc w:val="end"/>
      <w:pPr>
        <w:tabs>
          <w:tab w:val="num" w:pos="0"/>
        </w:tabs>
        <w:ind w:start="2520" w:hanging="420"/>
      </w:pPr>
    </w:lvl>
    <w:lvl w:ilvl="6">
      <w:start w:val="1"/>
      <w:numFmt w:val="decimal"/>
      <w:lvlText w:val="%7."/>
      <w:lvlJc w:val="start"/>
      <w:pPr>
        <w:tabs>
          <w:tab w:val="num" w:pos="0"/>
        </w:tabs>
        <w:ind w:start="2940" w:hanging="420"/>
      </w:pPr>
    </w:lvl>
    <w:lvl w:ilvl="7">
      <w:start w:val="1"/>
      <w:numFmt w:val="lowerLetter"/>
      <w:lvlText w:val="%8)"/>
      <w:lvlJc w:val="start"/>
      <w:pPr>
        <w:tabs>
          <w:tab w:val="num" w:pos="0"/>
        </w:tabs>
        <w:ind w:start="3360" w:hanging="420"/>
      </w:pPr>
    </w:lvl>
    <w:lvl w:ilvl="8">
      <w:start w:val="1"/>
      <w:numFmt w:val="lowerRoman"/>
      <w:lvlText w:val="%9."/>
      <w:lvlJc w:val="end"/>
      <w:pPr>
        <w:tabs>
          <w:tab w:val="num" w:pos="0"/>
        </w:tabs>
        <w:ind w:start="3780" w:hanging="420"/>
      </w:pPr>
    </w:lvl>
  </w:abstractNum>
  <w:abstractNum w:abstractNumId="3">
    <w:lvl w:ilvl="0">
      <w:start w:val="4"/>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 w:numId="3">
    <w:abstractNumId w:val="3"/>
  </w:num>
  <w:num w:numId="4">
    <w:abstractNumId w:val="2"/>
    <w:lvlOverride w:ilvl="0">
      <w:startOverride w:val="8"/>
    </w:lvlOverride>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2"/>
      <w:lang w:bidi="ar-SA" w:val="en-US" w:eastAsia="zh-CN"/>
    </w:rPr>
  </w:style>
  <w:style w:type="paragraph" w:styleId="Heading3">
    <w:name w:val="heading 3"/>
    <w:basedOn w:val="Normal"/>
    <w:next w:val="BodyText"/>
    <w:qFormat/>
    <w:pPr>
      <w:widowControl/>
      <w:numPr>
        <w:ilvl w:val="2"/>
        <w:numId w:val="1"/>
      </w:numPr>
      <w:spacing w:before="100" w:after="100"/>
      <w:jc w:val="start"/>
      <w:outlineLvl w:val="2"/>
    </w:pPr>
    <w:rPr>
      <w:rFonts w:ascii="宋体" w:hAnsi="宋体" w:eastAsia="宋体" w:cs="宋体"/>
      <w:b/>
      <w:bCs/>
      <w:kern w:val="0"/>
      <w:sz w:val="27"/>
      <w:szCs w:val="27"/>
    </w:rPr>
  </w:style>
  <w:style w:type="character" w:styleId="WW8Num1z0">
    <w:name w:val="WW8Num1z0"/>
    <w:qFormat/>
    <w:rPr/>
  </w:style>
  <w:style w:type="character" w:styleId="WW8Num2z0">
    <w:name w:val="WW8Num2z0"/>
    <w:qFormat/>
    <w:rPr>
      <w:rFonts w:hint="eastAsia"/>
    </w:rPr>
  </w:style>
  <w:style w:type="character" w:styleId="Style13">
    <w:name w:val="默认段落字体"/>
    <w:qFormat/>
    <w:rPr/>
  </w:style>
  <w:style w:type="character" w:styleId="3Char">
    <w:name w:val="标题 3 Char"/>
    <w:basedOn w:val="Style13"/>
    <w:qFormat/>
    <w:rPr>
      <w:rFonts w:ascii="宋体" w:hAnsi="宋体" w:eastAsia="宋体" w:cs="宋体"/>
      <w:b/>
      <w:bCs/>
      <w:kern w:val="0"/>
      <w:sz w:val="27"/>
      <w:szCs w:val="27"/>
    </w:rPr>
  </w:style>
  <w:style w:type="character" w:styleId="Char">
    <w:name w:val="批注框文本 Char"/>
    <w:basedOn w:val="Style13"/>
    <w:qFormat/>
    <w:rPr>
      <w:sz w:val="18"/>
      <w:szCs w:val="18"/>
    </w:rPr>
  </w:style>
  <w:style w:type="character" w:styleId="Char1">
    <w:name w:val="页脚 Char"/>
    <w:basedOn w:val="Style13"/>
    <w:qFormat/>
    <w:rPr>
      <w:sz w:val="18"/>
      <w:szCs w:val="18"/>
    </w:rPr>
  </w:style>
  <w:style w:type="character" w:styleId="Char2">
    <w:name w:val="页眉 Char"/>
    <w:basedOn w:val="Style13"/>
    <w:qFormat/>
    <w:rPr>
      <w:sz w:val="18"/>
      <w:szCs w:val="18"/>
    </w:rPr>
  </w:style>
  <w:style w:type="character" w:styleId="Hyperlink">
    <w:name w:val="Hyperlink"/>
    <w:basedOn w:val="Style13"/>
    <w:rPr>
      <w:color w:val="0000FF"/>
      <w:u w:val="single"/>
    </w:rPr>
  </w:style>
  <w:style w:type="paragraph" w:styleId="Style14">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索引"/>
    <w:basedOn w:val="Normal"/>
    <w:qFormat/>
    <w:pPr>
      <w:suppressLineNumbers/>
    </w:pPr>
    <w:rPr>
      <w:rFonts w:cs="Lucida Sans"/>
    </w:rPr>
  </w:style>
  <w:style w:type="paragraph" w:styleId="Style16">
    <w:name w:val="批注框文本"/>
    <w:basedOn w:val="Normal"/>
    <w:qFormat/>
    <w:pPr/>
    <w:rPr>
      <w:sz w:val="18"/>
      <w:szCs w:val="18"/>
    </w:rPr>
  </w:style>
  <w:style w:type="paragraph" w:styleId="Style17">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8">
    <w:name w:val="普通(网站)"/>
    <w:basedOn w:val="Normal"/>
    <w:qFormat/>
    <w:pPr>
      <w:widowControl/>
      <w:spacing w:before="100" w:after="100"/>
      <w:jc w:val="start"/>
    </w:pPr>
    <w:rPr>
      <w:rFonts w:ascii="宋体" w:hAnsi="宋体" w:eastAsia="宋体" w:cs="宋体"/>
      <w:kern w:val="0"/>
      <w:sz w:val="24"/>
      <w:szCs w:val="24"/>
    </w:rPr>
  </w:style>
  <w:style w:type="paragraph" w:styleId="Style19">
    <w:name w:val="列出段落"/>
    <w:basedOn w:val="Normal"/>
    <w:qFormat/>
    <w:pPr>
      <w:ind w:firstLineChars="200" w:startChars="0" w:start="0" w:endChars="0" w:end="0"/>
    </w:pPr>
    <w:rPr/>
  </w:style>
  <w:style w:type="paragraph" w:styleId="Style20">
    <w:name w:val="表格内容"/>
    <w:basedOn w:val="Normal"/>
    <w:qFormat/>
    <w:pPr>
      <w:widowControl w:val="false"/>
      <w:suppressLineNumbers/>
    </w:pPr>
    <w:rPr/>
  </w:style>
  <w:style w:type="paragraph" w:styleId="Style21">
    <w:name w:val="表格标题"/>
    <w:basedOn w:val="Style20"/>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4320</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2021-04-14T13:36:00Z</dcterms:created>
  <dc:creator>Administrator</dc:creator>
  <dc:description/>
  <dc:language>zh-CN</dc:language>
  <cp:lastModifiedBy>Administrator</cp:lastModifiedBy>
  <dcterms:modified xsi:type="dcterms:W3CDTF">2026-01-15T11:22:26Z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66062F90E59549B8984D359729212404</vt:lpwstr>
  </property>
  <property fmtid="{D5CDD505-2E9C-101B-9397-08002B2CF9AE}" pid="3" name="KSOProductBuildVer">
    <vt:lpwstr>2052-12.1.0.19302</vt:lpwstr>
  </property>
  <property fmtid="{D5CDD505-2E9C-101B-9397-08002B2CF9AE}" pid="4" name="KSOTemplateDocerSaveRecord">
    <vt:lpwstr>eyJoZGlkIjoiMjJkYmYyOGQwNjU2YTFjYjBlYWQzZDdlZjc2Nzk1ZWYifQ==</vt:lpwstr>
  </property>
</Properties>
</file>