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360" w:before="0" w:after="0"/>
        <w:contextualSpacing/>
        <w:rPr>
          <w:rFonts w:ascii="宋体" w:hAnsi="宋体" w:cs="宋体" w:hint="eastAsia"/>
          <w:sz w:val="24"/>
          <w:szCs w:val="24"/>
        </w:rPr>
      </w:pPr>
      <w:r>
        <w:rPr>
          <w:rFonts w:ascii="宋体" w:hAnsi="宋体" w:cs="宋体"/>
          <w:sz w:val="24"/>
          <w:szCs w:val="24"/>
          <w:lang w:val="zh-CN" w:eastAsia="zh-CN"/>
        </w:rPr>
        <w:drawing>
          <wp:inline distT="0" distB="0" distL="0" distR="0">
            <wp:extent cx="5276850" cy="118999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2"/>
                    <a:srcRect l="-6" t="-26" r="-6" b="-26"/>
                    <a:stretch>
                      <a:fillRect/>
                    </a:stretch>
                  </pic:blipFill>
                  <pic:spPr bwMode="auto">
                    <a:xfrm>
                      <a:off x="0" y="0"/>
                      <a:ext cx="5276850" cy="1189990"/>
                    </a:xfrm>
                    <a:prstGeom prst="rect">
                      <a:avLst/>
                    </a:prstGeom>
                    <a:noFill/>
                  </pic:spPr>
                </pic:pic>
              </a:graphicData>
            </a:graphic>
          </wp:inline>
        </w:drawing>
      </w:r>
    </w:p>
    <w:p>
      <w:pPr>
        <w:pStyle w:val="Normal"/>
        <w:spacing w:lineRule="auto" w:line="360" w:before="0" w:after="0"/>
        <w:ind w:hangingChars="900" w:startChars="0" w:start="0" w:endChars="0" w:end="0"/>
        <w:contextualSpacing/>
        <w:rPr>
          <w:rFonts w:ascii="宋体" w:hAnsi="宋体" w:cs="宋体" w:hint="eastAsia"/>
          <w:b/>
          <w:sz w:val="32"/>
          <w:szCs w:val="32"/>
        </w:rPr>
      </w:pPr>
      <w:r>
        <w:rPr>
          <w:rFonts w:cs="宋体" w:hint="eastAsia" w:ascii="宋体" w:hAnsi="宋体"/>
          <w:b/>
          <w:sz w:val="32"/>
          <w:szCs w:val="32"/>
        </w:rPr>
      </w:r>
    </w:p>
    <w:p>
      <w:pPr>
        <w:pStyle w:val="Normal"/>
        <w:spacing w:lineRule="auto" w:line="360" w:before="0" w:after="0"/>
        <w:ind w:hangingChars="1100" w:startChars="0" w:start="0" w:endChars="0" w:end="0"/>
        <w:contextualSpacing/>
        <w:rPr>
          <w:rFonts w:ascii="宋体" w:hAnsi="宋体" w:cs="宋体" w:hint="eastAsia"/>
          <w:b/>
          <w:color w:val="000000"/>
          <w:sz w:val="32"/>
          <w:szCs w:val="32"/>
        </w:rPr>
      </w:pPr>
      <w:r>
        <w:rPr>
          <w:rFonts w:ascii="宋体" w:hAnsi="宋体" w:cs="宋体" w:hint="eastAsia"/>
          <w:b/>
          <w:color w:val="000000"/>
          <w:sz w:val="32"/>
          <w:szCs w:val="32"/>
        </w:rPr>
        <w:t>武汉工程大学企业管理专业同等学力人员申请硕士学位  招生简章</w:t>
      </w:r>
    </w:p>
    <w:p>
      <w:pPr>
        <w:pStyle w:val="Normal"/>
        <w:spacing w:lineRule="auto" w:line="360" w:before="0" w:after="0"/>
        <w:ind w:firstLineChars="1400" w:startChars="0" w:start="0" w:endChars="0" w:end="0"/>
        <w:contextualSpacing/>
        <w:rPr>
          <w:rFonts w:ascii="宋体" w:hAnsi="宋体" w:cs="宋体"/>
          <w:color w:val="FF0000"/>
          <w:sz w:val="24"/>
          <w:szCs w:val="24"/>
        </w:rPr>
      </w:pPr>
      <w:r>
        <w:rPr>
          <w:rFonts w:ascii="宋体" w:hAnsi="宋体" w:cs="宋体"/>
          <w:color w:val="FF0000"/>
          <w:sz w:val="24"/>
          <w:szCs w:val="24"/>
        </w:rPr>
        <w:t>面向全国招生</w:t>
      </w:r>
      <w:r>
        <w:rPr>
          <w:rFonts w:ascii="宋体" w:hAnsi="宋体" w:cs="宋体" w:hint="eastAsia"/>
          <w:color w:val="FF0000"/>
          <w:sz w:val="24"/>
          <w:szCs w:val="24"/>
        </w:rPr>
        <w:t xml:space="preserve">     </w:t>
      </w:r>
    </w:p>
    <w:p>
      <w:pPr>
        <w:pStyle w:val="Normal"/>
        <w:spacing w:lineRule="auto" w:line="360" w:before="0" w:after="0"/>
        <w:contextualSpacing/>
        <w:rPr>
          <w:rFonts w:ascii="宋体" w:hAnsi="宋体" w:cs="宋体"/>
          <w:sz w:val="24"/>
          <w:szCs w:val="24"/>
        </w:rPr>
      </w:pPr>
      <w:r>
        <w:rPr>
          <w:rFonts w:cs="宋体" w:ascii="宋体" w:hAnsi="宋体"/>
          <w:color w:val="FF0000"/>
          <w:sz w:val="24"/>
          <w:szCs w:val="24"/>
        </w:rPr>
      </w:r>
    </w:p>
    <w:p>
      <w:pPr>
        <w:pStyle w:val="Normal"/>
        <w:tabs>
          <w:tab w:val="clear" w:pos="420"/>
          <w:tab w:val="left" w:pos="720" w:leader="none"/>
        </w:tabs>
        <w:spacing w:lineRule="auto" w:line="360" w:before="0" w:after="0"/>
        <w:contextualSpacing/>
        <w:rPr>
          <w:rFonts w:ascii="宋体" w:hAnsi="宋体" w:cs="宋体" w:hint="eastAsia"/>
          <w:spacing w:val="-13"/>
          <w:sz w:val="24"/>
          <w:szCs w:val="24"/>
        </w:rPr>
      </w:pPr>
      <w:r>
        <w:rPr>
          <w:rFonts w:cs="宋体" w:hint="eastAsia" w:ascii="宋体" w:hAnsi="宋体"/>
          <w:spacing w:val="-13"/>
          <w:sz w:val="24"/>
          <w:szCs w:val="24"/>
        </w:rPr>
      </w:r>
    </w:p>
    <w:p>
      <w:pPr>
        <w:pStyle w:val="Normal"/>
        <w:tabs>
          <w:tab w:val="clear" w:pos="420"/>
          <w:tab w:val="left" w:pos="720" w:leader="none"/>
        </w:tabs>
        <w:spacing w:lineRule="auto" w:line="360" w:before="0" w:after="0"/>
        <w:ind w:firstLineChars="200" w:startChars="0" w:start="0" w:endChars="0" w:end="0"/>
        <w:contextualSpacing/>
        <w:rPr>
          <w:rFonts w:ascii="宋体" w:hAnsi="宋体" w:cs="宋体" w:hint="eastAsia"/>
          <w:bCs/>
          <w:kern w:val="0"/>
          <w:szCs w:val="21"/>
        </w:rPr>
      </w:pPr>
      <w:r>
        <w:rPr>
          <w:rFonts w:ascii="宋体" w:hAnsi="宋体" w:cs="宋体" w:hint="eastAsia"/>
          <w:bCs/>
          <w:kern w:val="0"/>
          <w:szCs w:val="21"/>
        </w:rPr>
        <w:t>武汉工程大学是一所以工为主，覆盖工、理、管、经、文、法、艺术、医学、教育学等九大学科门类的教学研究型大学。学校是湖北省重点建设高校，是“一所特色鲜明的高校”。</w:t>
      </w:r>
      <w:r>
        <w:rPr>
          <w:rFonts w:cs="宋体" w:hint="eastAsia" w:ascii="宋体" w:hAnsi="宋体"/>
          <w:bCs/>
          <w:kern w:val="0"/>
          <w:szCs w:val="21"/>
        </w:rPr>
        <w:t>2012</w:t>
      </w:r>
      <w:r>
        <w:rPr>
          <w:rFonts w:ascii="宋体" w:hAnsi="宋体" w:cs="宋体" w:hint="eastAsia"/>
          <w:bCs/>
          <w:kern w:val="0"/>
          <w:szCs w:val="21"/>
        </w:rPr>
        <w:t>年学校入选中西部高校基础能力建设工程（小</w:t>
      </w:r>
      <w:r>
        <w:rPr>
          <w:rFonts w:cs="宋体" w:hint="eastAsia" w:ascii="宋体" w:hAnsi="宋体"/>
          <w:bCs/>
          <w:kern w:val="0"/>
          <w:szCs w:val="21"/>
        </w:rPr>
        <w:t>211</w:t>
      </w:r>
      <w:r>
        <w:rPr>
          <w:rFonts w:ascii="宋体" w:hAnsi="宋体" w:cs="宋体" w:hint="eastAsia"/>
          <w:bCs/>
          <w:kern w:val="0"/>
          <w:szCs w:val="21"/>
        </w:rPr>
        <w:t>工程）。</w:t>
      </w:r>
      <w:r>
        <w:rPr>
          <w:rFonts w:cs="宋体" w:hint="eastAsia" w:ascii="宋体" w:hAnsi="宋体"/>
          <w:bCs/>
          <w:kern w:val="0"/>
          <w:szCs w:val="21"/>
        </w:rPr>
        <w:t>2013</w:t>
      </w:r>
      <w:r>
        <w:rPr>
          <w:rFonts w:ascii="宋体" w:hAnsi="宋体" w:cs="宋体" w:hint="eastAsia"/>
          <w:bCs/>
          <w:kern w:val="0"/>
          <w:szCs w:val="21"/>
        </w:rPr>
        <w:t>年学校被国务院学位委员会确定为博士学位授予单位。</w:t>
      </w:r>
      <w:r>
        <w:rPr>
          <w:rFonts w:cs="宋体" w:hint="eastAsia" w:ascii="宋体" w:hAnsi="宋体"/>
          <w:bCs/>
          <w:kern w:val="0"/>
          <w:szCs w:val="21"/>
        </w:rPr>
        <w:t>2014</w:t>
      </w:r>
      <w:r>
        <w:rPr>
          <w:rFonts w:ascii="宋体" w:hAnsi="宋体" w:cs="宋体" w:hint="eastAsia"/>
          <w:bCs/>
          <w:kern w:val="0"/>
          <w:szCs w:val="21"/>
        </w:rPr>
        <w:t>年学校整体进入一本高校行列。</w:t>
      </w:r>
    </w:p>
    <w:p>
      <w:pPr>
        <w:pStyle w:val="Normal"/>
        <w:tabs>
          <w:tab w:val="clear" w:pos="420"/>
          <w:tab w:val="left" w:pos="720" w:leader="none"/>
        </w:tabs>
        <w:spacing w:lineRule="auto" w:line="360" w:before="0" w:after="0"/>
        <w:contextualSpacing/>
        <w:rPr>
          <w:rFonts w:ascii="宋体" w:hAnsi="宋体" w:cs="宋体" w:hint="eastAsia"/>
          <w:spacing w:val="-13"/>
          <w:szCs w:val="21"/>
        </w:rPr>
      </w:pPr>
      <w:r>
        <w:rPr>
          <w:rFonts w:cs="宋体" w:hint="eastAsia" w:ascii="宋体" w:hAnsi="宋体"/>
          <w:bCs/>
          <w:spacing w:val="-13"/>
          <w:kern w:val="0"/>
          <w:szCs w:val="21"/>
        </w:rPr>
      </w:r>
    </w:p>
    <w:p>
      <w:pPr>
        <w:pStyle w:val="Style19"/>
        <w:tabs>
          <w:tab w:val="clear" w:pos="420"/>
          <w:tab w:val="left" w:pos="720" w:leader="none"/>
        </w:tabs>
        <w:spacing w:lineRule="auto" w:line="360" w:before="0" w:after="0"/>
        <w:ind w:firstLineChars="0" w:firstLine="0" w:endChars="0" w:end="0"/>
        <w:contextualSpacing/>
        <w:rPr>
          <w:rFonts w:ascii="宋体" w:hAnsi="宋体" w:cs="宋体" w:hint="eastAsia"/>
          <w:b/>
          <w:color w:val="0070C0"/>
          <w:spacing w:val="-13"/>
          <w:szCs w:val="21"/>
        </w:rPr>
      </w:pPr>
      <w:r>
        <w:rPr>
          <w:rFonts w:ascii="宋体" w:hAnsi="宋体" w:cs="宋体" w:hint="eastAsia"/>
          <w:b/>
          <w:color w:val="0070C0"/>
          <w:spacing w:val="-13"/>
          <w:szCs w:val="21"/>
        </w:rPr>
        <w:t>一、学院及专业简介</w:t>
      </w:r>
    </w:p>
    <w:p>
      <w:pPr>
        <w:pStyle w:val="Normal"/>
        <w:tabs>
          <w:tab w:val="clear" w:pos="420"/>
          <w:tab w:val="left" w:pos="720" w:leader="none"/>
        </w:tabs>
        <w:spacing w:lineRule="auto" w:line="360" w:before="0" w:after="0"/>
        <w:ind w:firstLineChars="200" w:startChars="0" w:start="0" w:endChars="0" w:end="0"/>
        <w:contextualSpacing/>
        <w:rPr>
          <w:rFonts w:ascii="宋体" w:hAnsi="宋体" w:cs="宋体" w:hint="eastAsia"/>
          <w:bCs/>
          <w:kern w:val="0"/>
          <w:szCs w:val="21"/>
        </w:rPr>
      </w:pPr>
      <w:r>
        <w:rPr>
          <w:rFonts w:ascii="宋体" w:hAnsi="宋体" w:cs="宋体" w:hint="eastAsia"/>
          <w:bCs/>
          <w:kern w:val="0"/>
          <w:szCs w:val="21"/>
        </w:rPr>
        <w:t>管理</w:t>
      </w:r>
      <w:r>
        <w:rPr>
          <w:rFonts w:ascii="宋体" w:hAnsi="宋体" w:cs="宋体"/>
          <w:bCs/>
          <w:kern w:val="0"/>
          <w:szCs w:val="21"/>
        </w:rPr>
        <w:t>学院是</w:t>
      </w:r>
      <w:r>
        <w:rPr>
          <w:rFonts w:ascii="宋体" w:hAnsi="宋体" w:cs="宋体" w:hint="eastAsia"/>
          <w:bCs/>
          <w:kern w:val="0"/>
          <w:szCs w:val="21"/>
        </w:rPr>
        <w:t>学校办学规模最大的学院之一，也是全国设置</w:t>
      </w:r>
      <w:hyperlink r:id="rId3" w:tgtFrame="https://baike.baidu.com/item/%E6%AD%A6%E6%B1%89%E5%B7%A5%E7%A8%8B%E5%A4%A7%E5%AD%A6%E7%AE%A1%E7%90%86%E5%AD%A6%E9%99%A2/_blank">
        <w:r>
          <w:rPr>
            <w:rStyle w:val="Hyperlink"/>
            <w:rFonts w:ascii="宋体" w:hAnsi="宋体" w:cs="宋体"/>
            <w:bCs/>
            <w:kern w:val="0"/>
            <w:szCs w:val="21"/>
          </w:rPr>
          <w:t>工商管理</w:t>
        </w:r>
      </w:hyperlink>
      <w:r>
        <w:rPr>
          <w:rFonts w:ascii="宋体" w:hAnsi="宋体" w:cs="宋体"/>
          <w:bCs/>
          <w:kern w:val="0"/>
          <w:szCs w:val="21"/>
        </w:rPr>
        <w:t>教育较早的高校之一。其始于</w:t>
      </w:r>
      <w:r>
        <w:rPr>
          <w:rFonts w:cs="宋体" w:ascii="宋体" w:hAnsi="宋体"/>
          <w:bCs/>
          <w:kern w:val="0"/>
          <w:szCs w:val="21"/>
        </w:rPr>
        <w:t>1987</w:t>
      </w:r>
      <w:r>
        <w:rPr>
          <w:rFonts w:ascii="宋体" w:hAnsi="宋体" w:cs="宋体"/>
          <w:bCs/>
          <w:kern w:val="0"/>
          <w:szCs w:val="21"/>
        </w:rPr>
        <w:t>年成立的管理工程专业筹备组，由此创立</w:t>
      </w:r>
      <w:hyperlink r:id="rId4" w:tgtFrame="https://baike.baidu.com/item/%E6%AD%A6%E6%B1%89%E5%B7%A5%E7%A8%8B%E5%A4%A7%E5%AD%A6%E7%AE%A1%E7%90%86%E5%AD%A6%E9%99%A2/_blank">
        <w:r>
          <w:rPr>
            <w:rStyle w:val="Hyperlink"/>
            <w:rFonts w:ascii="宋体" w:hAnsi="宋体" w:cs="宋体"/>
            <w:bCs/>
            <w:kern w:val="0"/>
            <w:szCs w:val="21"/>
          </w:rPr>
          <w:t>管理学科</w:t>
        </w:r>
      </w:hyperlink>
      <w:r>
        <w:rPr>
          <w:rFonts w:ascii="宋体" w:hAnsi="宋体" w:cs="宋体"/>
          <w:bCs/>
          <w:kern w:val="0"/>
          <w:szCs w:val="21"/>
        </w:rPr>
        <w:t>。</w:t>
      </w:r>
      <w:r>
        <w:rPr>
          <w:rFonts w:cs="宋体" w:ascii="宋体" w:hAnsi="宋体"/>
          <w:bCs/>
          <w:kern w:val="0"/>
          <w:szCs w:val="21"/>
        </w:rPr>
        <w:t>1997</w:t>
      </w:r>
      <w:r>
        <w:rPr>
          <w:rFonts w:ascii="宋体" w:hAnsi="宋体" w:cs="宋体"/>
          <w:bCs/>
          <w:kern w:val="0"/>
          <w:szCs w:val="21"/>
        </w:rPr>
        <w:t>年，学校成立人文与管理学院。</w:t>
      </w:r>
      <w:r>
        <w:rPr>
          <w:rFonts w:cs="宋体" w:ascii="宋体" w:hAnsi="宋体"/>
          <w:bCs/>
          <w:kern w:val="0"/>
          <w:szCs w:val="21"/>
        </w:rPr>
        <w:t>2003</w:t>
      </w:r>
      <w:r>
        <w:rPr>
          <w:rFonts w:ascii="宋体" w:hAnsi="宋体" w:cs="宋体"/>
          <w:bCs/>
          <w:kern w:val="0"/>
          <w:szCs w:val="21"/>
        </w:rPr>
        <w:t>年</w:t>
      </w:r>
      <w:r>
        <w:rPr>
          <w:rFonts w:cs="宋体" w:ascii="宋体" w:hAnsi="宋体"/>
          <w:bCs/>
          <w:kern w:val="0"/>
          <w:szCs w:val="21"/>
        </w:rPr>
        <w:t>2</w:t>
      </w:r>
      <w:r>
        <w:rPr>
          <w:rFonts w:ascii="宋体" w:hAnsi="宋体" w:cs="宋体"/>
          <w:bCs/>
          <w:kern w:val="0"/>
          <w:szCs w:val="21"/>
        </w:rPr>
        <w:t>月，为促进多科性大学格局的形成，成立经济管理学院。随着管理学科的不断发展壮大，学校于</w:t>
      </w:r>
      <w:r>
        <w:rPr>
          <w:rFonts w:cs="宋体" w:ascii="宋体" w:hAnsi="宋体"/>
          <w:bCs/>
          <w:kern w:val="0"/>
          <w:szCs w:val="21"/>
        </w:rPr>
        <w:t>2009</w:t>
      </w:r>
      <w:r>
        <w:rPr>
          <w:rFonts w:ascii="宋体" w:hAnsi="宋体" w:cs="宋体"/>
          <w:bCs/>
          <w:kern w:val="0"/>
          <w:szCs w:val="21"/>
        </w:rPr>
        <w:t>年</w:t>
      </w:r>
      <w:r>
        <w:rPr>
          <w:rFonts w:cs="宋体" w:ascii="宋体" w:hAnsi="宋体"/>
          <w:bCs/>
          <w:kern w:val="0"/>
          <w:szCs w:val="21"/>
        </w:rPr>
        <w:t>2</w:t>
      </w:r>
      <w:r>
        <w:rPr>
          <w:rFonts w:ascii="宋体" w:hAnsi="宋体" w:cs="宋体"/>
          <w:bCs/>
          <w:kern w:val="0"/>
          <w:szCs w:val="21"/>
        </w:rPr>
        <w:t>月将管理学科独立，成立管理学院。</w:t>
      </w:r>
    </w:p>
    <w:p>
      <w:pPr>
        <w:pStyle w:val="Normal"/>
        <w:tabs>
          <w:tab w:val="clear" w:pos="420"/>
          <w:tab w:val="left" w:pos="720" w:leader="none"/>
        </w:tabs>
        <w:spacing w:lineRule="auto" w:line="360" w:before="0" w:after="0"/>
        <w:ind w:firstLineChars="200" w:startChars="0" w:start="0" w:endChars="0" w:end="0"/>
        <w:contextualSpacing/>
        <w:rPr>
          <w:rFonts w:ascii="宋体" w:hAnsi="宋体" w:cs="宋体" w:hint="eastAsia"/>
          <w:bCs/>
          <w:kern w:val="0"/>
          <w:szCs w:val="21"/>
        </w:rPr>
      </w:pPr>
      <w:r>
        <w:rPr>
          <w:rFonts w:ascii="宋体" w:hAnsi="宋体" w:cs="宋体" w:hint="eastAsia"/>
          <w:szCs w:val="21"/>
        </w:rPr>
        <w:t>企业管理是</w:t>
      </w:r>
      <w:r>
        <w:rPr>
          <w:rFonts w:ascii="宋体" w:hAnsi="宋体" w:cs="宋体"/>
          <w:bCs/>
          <w:kern w:val="0"/>
          <w:szCs w:val="21"/>
        </w:rPr>
        <w:t>我国现开设的</w:t>
      </w:r>
      <w:r>
        <w:rPr>
          <w:rFonts w:cs="宋体" w:ascii="宋体" w:hAnsi="宋体"/>
          <w:bCs/>
          <w:kern w:val="0"/>
          <w:szCs w:val="21"/>
        </w:rPr>
        <w:t>15</w:t>
      </w:r>
      <w:r>
        <w:rPr>
          <w:rFonts w:ascii="宋体" w:hAnsi="宋体" w:cs="宋体"/>
          <w:bCs/>
          <w:kern w:val="0"/>
          <w:szCs w:val="21"/>
        </w:rPr>
        <w:t>类</w:t>
      </w:r>
      <w:hyperlink r:id="rId5" w:tgtFrame="https://baike.baidu.com/item/%E4%BC%81%E4%B8%9A%E7%AE%A1%E7%90%86%E4%B8%93%E4%B8%9A/_blank">
        <w:r>
          <w:rPr>
            <w:rStyle w:val="Hyperlink"/>
            <w:rFonts w:ascii="宋体" w:hAnsi="宋体" w:cs="宋体"/>
            <w:bCs/>
            <w:kern w:val="0"/>
            <w:szCs w:val="21"/>
          </w:rPr>
          <w:t>专业学位</w:t>
        </w:r>
      </w:hyperlink>
      <w:r>
        <w:rPr>
          <w:rFonts w:ascii="宋体" w:hAnsi="宋体" w:cs="宋体"/>
          <w:bCs/>
          <w:kern w:val="0"/>
          <w:szCs w:val="21"/>
        </w:rPr>
        <w:t>中的一种，旨在针对一定的职业背景的学员培养高层次、应用型的企业管理人才</w:t>
      </w:r>
      <w:r>
        <w:rPr>
          <w:rFonts w:ascii="宋体" w:hAnsi="宋体" w:cs="宋体" w:hint="eastAsia"/>
          <w:bCs/>
          <w:kern w:val="0"/>
          <w:szCs w:val="21"/>
        </w:rPr>
        <w:t>。</w:t>
      </w:r>
      <w:r>
        <w:rPr>
          <w:rFonts w:ascii="宋体" w:hAnsi="宋体" w:cs="宋体"/>
          <w:bCs/>
          <w:kern w:val="0"/>
          <w:szCs w:val="21"/>
        </w:rPr>
        <w:t>随着中国经济高速发展，每个企业都成为全球经济的一个车间或部门，企业面临更多的竞争对手。市场的竞争，是技术的竞争，资金的竞争，更是人才的竞争、管理水平的竞争。企业要想在竞争中立于不败之地，只有越来越重视自身管理能力、运营能力，以及应对政策变化、产业环境变化的能力。</w:t>
      </w:r>
    </w:p>
    <w:p>
      <w:pPr>
        <w:pStyle w:val="Normal"/>
        <w:widowControl/>
        <w:numPr>
          <w:ilvl w:val="0"/>
          <w:numId w:val="0"/>
        </w:numPr>
        <w:spacing w:lineRule="auto" w:line="360" w:before="100" w:after="100"/>
        <w:ind w:firstLineChars="200" w:startChars="0" w:start="0" w:endChars="0" w:end="0"/>
        <w:contextualSpacing/>
        <w:jc w:val="start"/>
        <w:outlineLvl w:val="2"/>
        <w:rPr>
          <w:rFonts w:ascii="宋体" w:hAnsi="宋体" w:cs="宋体" w:hint="eastAsia"/>
          <w:szCs w:val="21"/>
        </w:rPr>
      </w:pPr>
      <w:r>
        <w:rPr>
          <w:rFonts w:ascii="宋体" w:hAnsi="宋体" w:cs="宋体" w:hint="eastAsia"/>
          <w:szCs w:val="21"/>
        </w:rPr>
        <w:t>武汉工程大学</w:t>
      </w:r>
      <w:r>
        <w:rPr>
          <w:rFonts w:ascii="宋体" w:hAnsi="宋体" w:cs="宋体" w:hint="eastAsia"/>
          <w:bCs/>
          <w:kern w:val="0"/>
          <w:szCs w:val="21"/>
        </w:rPr>
        <w:t>管理</w:t>
      </w:r>
      <w:r>
        <w:rPr>
          <w:rFonts w:ascii="宋体" w:hAnsi="宋体" w:cs="宋体"/>
          <w:bCs/>
          <w:kern w:val="0"/>
          <w:szCs w:val="21"/>
        </w:rPr>
        <w:t>学院</w:t>
      </w:r>
      <w:r>
        <w:rPr>
          <w:rFonts w:ascii="宋体" w:hAnsi="宋体" w:cs="宋体" w:hint="eastAsia"/>
          <w:szCs w:val="21"/>
        </w:rPr>
        <w:t>面向社会开设企业管理专业同等学力人员申请硕士学位课程班，用以培养更多的企业管理人才。</w:t>
      </w:r>
    </w:p>
    <w:p>
      <w:pPr>
        <w:pStyle w:val="Normal"/>
        <w:widowControl/>
        <w:numPr>
          <w:ilvl w:val="0"/>
          <w:numId w:val="0"/>
        </w:numPr>
        <w:spacing w:lineRule="auto" w:line="360" w:before="100" w:after="100"/>
        <w:ind w:firstLineChars="200" w:startChars="0" w:start="0" w:endChars="0" w:end="0"/>
        <w:contextualSpacing/>
        <w:jc w:val="start"/>
        <w:outlineLvl w:val="2"/>
        <w:rPr>
          <w:rFonts w:ascii="宋体" w:hAnsi="宋体" w:cs="宋体" w:hint="eastAsia"/>
          <w:szCs w:val="21"/>
        </w:rPr>
      </w:pPr>
      <w:r>
        <w:rPr>
          <w:rFonts w:cs="宋体" w:hint="eastAsia" w:ascii="宋体" w:hAnsi="宋体"/>
          <w:szCs w:val="21"/>
        </w:rPr>
      </w:r>
    </w:p>
    <w:p>
      <w:pPr>
        <w:pStyle w:val="Normal"/>
        <w:widowControl/>
        <w:numPr>
          <w:ilvl w:val="0"/>
          <w:numId w:val="0"/>
        </w:numPr>
        <w:spacing w:lineRule="auto" w:line="360" w:before="100" w:after="100"/>
        <w:contextualSpacing/>
        <w:jc w:val="start"/>
        <w:outlineLvl w:val="2"/>
        <w:rPr>
          <w:rFonts w:ascii="宋体" w:hAnsi="宋体" w:cs="宋体"/>
          <w:b/>
          <w:bCs/>
          <w:color w:val="0070C0"/>
          <w:kern w:val="0"/>
          <w:szCs w:val="21"/>
        </w:rPr>
      </w:pPr>
      <w:r>
        <w:rPr>
          <w:rFonts w:ascii="宋体" w:hAnsi="宋体" w:cs="宋体" w:hint="eastAsia"/>
          <w:b/>
          <w:bCs/>
          <w:color w:val="0070C0"/>
          <w:kern w:val="0"/>
          <w:szCs w:val="21"/>
        </w:rPr>
        <w:t>二、</w:t>
      </w:r>
      <w:r>
        <w:rPr>
          <w:rFonts w:ascii="宋体" w:hAnsi="宋体" w:cs="宋体"/>
          <w:b/>
          <w:bCs/>
          <w:color w:val="0070C0"/>
          <w:kern w:val="0"/>
          <w:szCs w:val="21"/>
        </w:rPr>
        <w:t>培养目标</w:t>
      </w:r>
    </w:p>
    <w:p>
      <w:pPr>
        <w:pStyle w:val="Normal"/>
        <w:widowControl/>
        <w:numPr>
          <w:ilvl w:val="0"/>
          <w:numId w:val="0"/>
        </w:numPr>
        <w:spacing w:lineRule="auto" w:line="360" w:before="100" w:after="100"/>
        <w:ind w:firstLineChars="300" w:startChars="0" w:start="0" w:endChars="0" w:end="0"/>
        <w:contextualSpacing/>
        <w:jc w:val="start"/>
        <w:outlineLvl w:val="2"/>
        <w:rPr>
          <w:rFonts w:ascii="宋体" w:hAnsi="宋体" w:cs="宋体" w:hint="eastAsia"/>
          <w:szCs w:val="21"/>
        </w:rPr>
      </w:pPr>
      <w:r>
        <w:rPr>
          <w:rFonts w:ascii="宋体" w:hAnsi="宋体" w:cs="宋体" w:hint="eastAsia"/>
          <w:szCs w:val="21"/>
        </w:rPr>
        <w:t>本</w:t>
      </w:r>
      <w:r>
        <w:rPr>
          <w:rFonts w:ascii="宋体" w:hAnsi="宋体" w:cs="宋体"/>
          <w:szCs w:val="21"/>
        </w:rPr>
        <w:t>专业主要是培养能够掌握现代工商管理的理论、方法和技能，熟悉国内外工商管理的历史、现状和最新动态，能用所学知识分析解决我国企业管理中的一些实际问题，如进行资本市场融资，国内外投资，营销策划，</w:t>
      </w:r>
      <w:hyperlink r:id="rId6" w:tgtFrame="https://baike.baidu.com/item/%E4%BC%81%E4%B8%9A%E7%AE%A1%E7%90%86%E7%A1%95%E5%A3%AB/_blank">
        <w:r>
          <w:rPr>
            <w:rStyle w:val="Hyperlink"/>
            <w:rFonts w:ascii="宋体" w:hAnsi="宋体" w:cs="宋体"/>
            <w:szCs w:val="21"/>
          </w:rPr>
          <w:t>企业发展战略</w:t>
        </w:r>
      </w:hyperlink>
      <w:r>
        <w:rPr>
          <w:rFonts w:ascii="宋体" w:hAnsi="宋体" w:cs="宋体"/>
          <w:szCs w:val="21"/>
        </w:rPr>
        <w:t>制定，</w:t>
      </w:r>
      <w:hyperlink r:id="rId7" w:tgtFrame="https://baike.baidu.com/item/%E4%BC%81%E4%B8%9A%E7%AE%A1%E7%90%86%E7%A1%95%E5%A3%AB/_blank">
        <w:r>
          <w:rPr>
            <w:rStyle w:val="Hyperlink"/>
            <w:rFonts w:ascii="宋体" w:hAnsi="宋体" w:cs="宋体"/>
            <w:szCs w:val="21"/>
          </w:rPr>
          <w:t>企业经济效益</w:t>
        </w:r>
      </w:hyperlink>
      <w:r>
        <w:rPr>
          <w:rFonts w:ascii="宋体" w:hAnsi="宋体" w:cs="宋体"/>
          <w:szCs w:val="21"/>
        </w:rPr>
        <w:t>分析，</w:t>
      </w:r>
      <w:hyperlink r:id="rId8" w:tgtFrame="https://baike.baidu.com/item/%E4%BC%81%E4%B8%9A%E7%AE%A1%E7%90%86%E7%A1%95%E5%A3%AB/_blank">
        <w:r>
          <w:rPr>
            <w:rStyle w:val="Hyperlink"/>
            <w:rFonts w:ascii="宋体" w:hAnsi="宋体" w:cs="宋体"/>
            <w:szCs w:val="21"/>
          </w:rPr>
          <w:t>现代企业制度</w:t>
        </w:r>
      </w:hyperlink>
      <w:r>
        <w:rPr>
          <w:rFonts w:ascii="宋体" w:hAnsi="宋体" w:cs="宋体"/>
          <w:szCs w:val="21"/>
        </w:rPr>
        <w:t>的建设和创新等等的高级人才。</w:t>
      </w:r>
    </w:p>
    <w:p>
      <w:pPr>
        <w:pStyle w:val="Normal"/>
        <w:widowControl/>
        <w:numPr>
          <w:ilvl w:val="0"/>
          <w:numId w:val="0"/>
        </w:numPr>
        <w:spacing w:lineRule="auto" w:line="360" w:before="100" w:after="100"/>
        <w:ind w:firstLineChars="300" w:startChars="0" w:start="0" w:endChars="0" w:end="0"/>
        <w:contextualSpacing/>
        <w:jc w:val="start"/>
        <w:outlineLvl w:val="2"/>
        <w:rPr>
          <w:rFonts w:ascii="宋体" w:hAnsi="宋体" w:cs="宋体"/>
          <w:szCs w:val="21"/>
        </w:rPr>
      </w:pPr>
      <w:r>
        <w:rPr>
          <w:rFonts w:cs="宋体" w:hint="eastAsia" w:ascii="宋体" w:hAnsi="宋体"/>
          <w:szCs w:val="21"/>
        </w:rPr>
      </w:r>
    </w:p>
    <w:p>
      <w:pPr>
        <w:pStyle w:val="Normal"/>
        <w:widowControl/>
        <w:numPr>
          <w:ilvl w:val="0"/>
          <w:numId w:val="0"/>
        </w:numPr>
        <w:spacing w:lineRule="auto" w:line="360" w:before="100" w:after="100"/>
        <w:contextualSpacing/>
        <w:jc w:val="start"/>
        <w:outlineLvl w:val="2"/>
        <w:rPr>
          <w:rFonts w:ascii="宋体" w:hAnsi="宋体" w:cs="宋体" w:hint="eastAsia"/>
          <w:b/>
          <w:color w:val="0070C0"/>
          <w:szCs w:val="21"/>
        </w:rPr>
      </w:pPr>
      <w:r>
        <w:rPr>
          <w:rFonts w:ascii="宋体" w:hAnsi="宋体" w:cs="宋体"/>
          <w:b/>
          <w:color w:val="0070C0"/>
          <w:szCs w:val="21"/>
        </w:rPr>
        <w:t>三、专业优势</w:t>
      </w:r>
    </w:p>
    <w:p>
      <w:pPr>
        <w:pStyle w:val="Normal"/>
        <w:widowControl/>
        <w:numPr>
          <w:ilvl w:val="0"/>
          <w:numId w:val="0"/>
        </w:numPr>
        <w:spacing w:lineRule="auto" w:line="360" w:before="100" w:after="100"/>
        <w:ind w:firstLineChars="200" w:startChars="0" w:start="0" w:endChars="0" w:end="0"/>
        <w:contextualSpacing/>
        <w:jc w:val="start"/>
        <w:outlineLvl w:val="2"/>
        <w:rPr>
          <w:rFonts w:ascii="宋体" w:hAnsi="宋体" w:cs="宋体" w:hint="eastAsia"/>
          <w:szCs w:val="21"/>
        </w:rPr>
      </w:pPr>
      <w:r>
        <w:rPr>
          <w:rFonts w:cs="宋体" w:hint="eastAsia" w:ascii="宋体" w:hAnsi="宋体"/>
          <w:szCs w:val="21"/>
        </w:rPr>
        <w:t>1.</w:t>
      </w:r>
      <w:r>
        <w:rPr>
          <w:rFonts w:ascii="宋体" w:hAnsi="宋体" w:cs="宋体"/>
          <w:szCs w:val="21"/>
        </w:rPr>
        <w:t>【</w:t>
      </w:r>
      <w:r>
        <w:rPr>
          <w:rFonts w:ascii="宋体" w:hAnsi="宋体" w:cs="宋体" w:hint="eastAsia"/>
          <w:szCs w:val="21"/>
        </w:rPr>
        <w:t>综合范围广</w:t>
      </w:r>
      <w:r>
        <w:rPr>
          <w:rFonts w:ascii="宋体" w:hAnsi="宋体" w:cs="宋体"/>
          <w:szCs w:val="21"/>
        </w:rPr>
        <w:t>】</w:t>
      </w:r>
      <w:r>
        <w:rPr>
          <w:rFonts w:ascii="宋体" w:hAnsi="宋体" w:cs="宋体" w:hint="eastAsia"/>
          <w:szCs w:val="21"/>
        </w:rPr>
        <w:t>本专业针对有一定职场需求的学员培养更高层次的应用型各行各业管理部门的新型人才；</w:t>
      </w:r>
    </w:p>
    <w:p>
      <w:pPr>
        <w:pStyle w:val="Normal"/>
        <w:widowControl/>
        <w:numPr>
          <w:ilvl w:val="0"/>
          <w:numId w:val="0"/>
        </w:numPr>
        <w:spacing w:lineRule="auto" w:line="360" w:before="100" w:after="100"/>
        <w:ind w:firstLineChars="200" w:startChars="0" w:start="0" w:endChars="0" w:end="0"/>
        <w:contextualSpacing/>
        <w:jc w:val="start"/>
        <w:outlineLvl w:val="2"/>
        <w:rPr>
          <w:rFonts w:ascii="宋体" w:hAnsi="宋体" w:cs="宋体"/>
          <w:szCs w:val="21"/>
        </w:rPr>
      </w:pPr>
      <w:r>
        <w:rPr>
          <w:rFonts w:cs="宋体" w:hint="eastAsia" w:ascii="宋体" w:hAnsi="宋体"/>
          <w:szCs w:val="21"/>
        </w:rPr>
        <w:t>2.</w:t>
      </w:r>
      <w:r>
        <w:rPr>
          <w:rFonts w:ascii="宋体" w:hAnsi="宋体" w:cs="宋体" w:hint="eastAsia"/>
          <w:szCs w:val="21"/>
        </w:rPr>
        <w:t>【申硕仅考</w:t>
      </w:r>
      <w:r>
        <w:rPr>
          <w:rFonts w:cs="宋体" w:hint="eastAsia" w:ascii="宋体" w:hAnsi="宋体"/>
          <w:szCs w:val="21"/>
        </w:rPr>
        <w:t>2</w:t>
      </w:r>
      <w:r>
        <w:rPr>
          <w:rFonts w:ascii="宋体" w:hAnsi="宋体" w:cs="宋体" w:hint="eastAsia"/>
          <w:szCs w:val="21"/>
        </w:rPr>
        <w:t>科】学员满足申硕条件参加全国统一同等学力申请硕士学位考试，仅考外语</w:t>
      </w:r>
      <w:r>
        <w:rPr>
          <w:rFonts w:cs="宋体" w:hint="eastAsia" w:ascii="宋体" w:hAnsi="宋体"/>
          <w:szCs w:val="21"/>
        </w:rPr>
        <w:t>+</w:t>
      </w:r>
      <w:r>
        <w:rPr>
          <w:rFonts w:ascii="宋体" w:hAnsi="宋体" w:cs="宋体" w:hint="eastAsia"/>
          <w:szCs w:val="21"/>
        </w:rPr>
        <w:t>专业综合</w:t>
      </w:r>
      <w:r>
        <w:rPr>
          <w:rFonts w:cs="宋体" w:hint="eastAsia" w:ascii="宋体" w:hAnsi="宋体"/>
          <w:szCs w:val="21"/>
        </w:rPr>
        <w:t>2</w:t>
      </w:r>
      <w:r>
        <w:rPr>
          <w:rFonts w:ascii="宋体" w:hAnsi="宋体" w:cs="宋体" w:hint="eastAsia"/>
          <w:szCs w:val="21"/>
        </w:rPr>
        <w:t>科目，百分制六十分及格，难度较低；</w:t>
      </w:r>
    </w:p>
    <w:p>
      <w:pPr>
        <w:pStyle w:val="Normal"/>
        <w:widowControl/>
        <w:numPr>
          <w:ilvl w:val="0"/>
          <w:numId w:val="0"/>
        </w:numPr>
        <w:spacing w:lineRule="auto" w:line="360" w:before="100" w:after="100"/>
        <w:ind w:firstLineChars="200" w:startChars="0" w:start="0" w:endChars="0" w:end="0"/>
        <w:contextualSpacing/>
        <w:jc w:val="start"/>
        <w:outlineLvl w:val="2"/>
        <w:rPr>
          <w:rFonts w:ascii="宋体" w:hAnsi="宋体" w:cs="宋体" w:hint="eastAsia"/>
          <w:szCs w:val="21"/>
        </w:rPr>
      </w:pPr>
      <w:r>
        <w:rPr>
          <w:rFonts w:cs="宋体" w:hint="eastAsia" w:ascii="宋体" w:hAnsi="宋体"/>
          <w:szCs w:val="21"/>
        </w:rPr>
        <w:t>3.</w:t>
      </w:r>
      <w:r>
        <w:rPr>
          <w:rFonts w:ascii="宋体" w:hAnsi="宋体" w:cs="宋体" w:hint="eastAsia"/>
          <w:szCs w:val="21"/>
        </w:rPr>
        <w:t>【</w:t>
      </w:r>
      <w:r>
        <w:rPr>
          <w:rFonts w:ascii="宋体" w:hAnsi="宋体" w:cs="宋体"/>
          <w:szCs w:val="21"/>
        </w:rPr>
        <w:t>学习方式</w:t>
      </w:r>
      <w:r>
        <w:rPr>
          <w:rFonts w:ascii="宋体" w:hAnsi="宋体" w:cs="宋体" w:hint="eastAsia"/>
          <w:szCs w:val="21"/>
        </w:rPr>
        <w:t>灵活】本专业</w:t>
      </w:r>
      <w:r>
        <w:rPr>
          <w:rFonts w:ascii="宋体" w:hAnsi="宋体" w:cs="宋体"/>
          <w:szCs w:val="21"/>
        </w:rPr>
        <w:t>设校本部面授班、异地网络教学班，学员不受时间、地域限制随时可学习，方便灵活</w:t>
      </w:r>
      <w:r>
        <w:rPr>
          <w:rFonts w:ascii="宋体" w:hAnsi="宋体" w:cs="宋体" w:hint="eastAsia"/>
          <w:szCs w:val="21"/>
        </w:rPr>
        <w:t>；</w:t>
      </w:r>
    </w:p>
    <w:p>
      <w:pPr>
        <w:pStyle w:val="Normal"/>
        <w:widowControl/>
        <w:numPr>
          <w:ilvl w:val="0"/>
          <w:numId w:val="0"/>
        </w:numPr>
        <w:spacing w:lineRule="auto" w:line="360" w:before="100" w:after="100"/>
        <w:ind w:firstLineChars="200" w:startChars="0" w:start="0" w:endChars="0" w:end="0"/>
        <w:contextualSpacing/>
        <w:jc w:val="start"/>
        <w:outlineLvl w:val="2"/>
        <w:rPr>
          <w:rFonts w:ascii="宋体" w:hAnsi="宋体" w:cs="宋体"/>
          <w:szCs w:val="21"/>
        </w:rPr>
      </w:pPr>
      <w:r>
        <w:rPr>
          <w:rFonts w:cs="宋体" w:hint="eastAsia" w:ascii="宋体" w:hAnsi="宋体"/>
          <w:szCs w:val="21"/>
        </w:rPr>
        <w:t>4.</w:t>
      </w:r>
      <w:r>
        <w:rPr>
          <w:rFonts w:ascii="宋体" w:hAnsi="宋体" w:cs="宋体"/>
          <w:szCs w:val="21"/>
        </w:rPr>
        <w:t>【可获名校证书】拟申请硕士学位的同等学力人员具备条件后，经学校学位评定委员会批准，授予武汉工程大学硕士学位证书</w:t>
      </w:r>
      <w:r>
        <w:rPr>
          <w:rFonts w:ascii="宋体" w:hAnsi="宋体" w:cs="宋体" w:hint="eastAsia"/>
          <w:szCs w:val="21"/>
        </w:rPr>
        <w:t>。</w:t>
      </w:r>
    </w:p>
    <w:p>
      <w:pPr>
        <w:pStyle w:val="Normal"/>
        <w:widowControl/>
        <w:numPr>
          <w:ilvl w:val="0"/>
          <w:numId w:val="0"/>
        </w:numPr>
        <w:spacing w:lineRule="auto" w:line="360" w:before="100" w:after="100"/>
        <w:ind w:firstLineChars="200" w:startChars="0" w:start="0" w:endChars="0" w:end="0"/>
        <w:contextualSpacing/>
        <w:jc w:val="start"/>
        <w:outlineLvl w:val="2"/>
        <w:rPr>
          <w:rFonts w:ascii="宋体" w:hAnsi="宋体" w:cs="宋体" w:hint="eastAsia"/>
          <w:szCs w:val="21"/>
        </w:rPr>
      </w:pPr>
      <w:r>
        <w:rPr>
          <w:rFonts w:cs="宋体" w:hint="eastAsia" w:ascii="宋体" w:hAnsi="宋体"/>
          <w:szCs w:val="21"/>
        </w:rPr>
        <w:t>5.</w:t>
      </w:r>
      <w:r>
        <w:rPr>
          <w:rFonts w:ascii="宋体" w:hAnsi="宋体" w:cs="宋体" w:hint="eastAsia"/>
          <w:szCs w:val="21"/>
        </w:rPr>
        <w:t>【学知识结人脉】学习期间不定期举行课外活动，学知识结高端校友人脉。</w:t>
      </w:r>
    </w:p>
    <w:p>
      <w:pPr>
        <w:pStyle w:val="Normal"/>
        <w:widowControl/>
        <w:numPr>
          <w:ilvl w:val="0"/>
          <w:numId w:val="0"/>
        </w:numPr>
        <w:spacing w:lineRule="auto" w:line="360" w:before="100" w:after="100"/>
        <w:contextualSpacing/>
        <w:jc w:val="start"/>
        <w:outlineLvl w:val="2"/>
        <w:rPr>
          <w:rFonts w:ascii="宋体" w:hAnsi="宋体" w:cs="宋体" w:hint="eastAsia"/>
          <w:szCs w:val="21"/>
        </w:rPr>
      </w:pPr>
      <w:r>
        <w:rPr>
          <w:rFonts w:cs="宋体" w:hint="eastAsia" w:ascii="宋体" w:hAnsi="宋体"/>
          <w:szCs w:val="21"/>
        </w:rPr>
      </w:r>
    </w:p>
    <w:p>
      <w:pPr>
        <w:pStyle w:val="Normal"/>
        <w:widowControl/>
        <w:numPr>
          <w:ilvl w:val="0"/>
          <w:numId w:val="2"/>
        </w:numPr>
        <w:spacing w:lineRule="auto" w:line="360" w:before="0" w:after="280"/>
        <w:jc w:val="start"/>
        <w:outlineLvl w:val="2"/>
        <w:rPr>
          <w:rFonts w:ascii="宋体" w:hAnsi="宋体" w:cs="宋体" w:hint="eastAsia"/>
          <w:b/>
          <w:color w:val="0070C0"/>
          <w:szCs w:val="21"/>
        </w:rPr>
      </w:pPr>
      <w:r>
        <w:rPr>
          <w:rFonts w:ascii="宋体" w:hAnsi="宋体" w:cs="宋体" w:hint="eastAsia"/>
          <w:b/>
          <w:color w:val="0070C0"/>
          <w:szCs w:val="21"/>
        </w:rPr>
        <w:t>课程设置</w:t>
      </w:r>
    </w:p>
    <w:tbl>
      <w:tblPr>
        <w:tblW w:w="8404" w:type="dxa"/>
        <w:jc w:val="start"/>
        <w:tblInd w:w="0" w:type="dxa"/>
        <w:tblLayout w:type="fixed"/>
        <w:tblCellMar>
          <w:top w:w="0" w:type="dxa"/>
          <w:start w:w="108" w:type="dxa"/>
          <w:bottom w:w="0" w:type="dxa"/>
          <w:end w:w="108" w:type="dxa"/>
        </w:tblCellMar>
      </w:tblPr>
      <w:tblGrid>
        <w:gridCol w:w="2524"/>
        <w:gridCol w:w="2400"/>
        <w:gridCol w:w="3480"/>
      </w:tblGrid>
      <w:tr>
        <w:trPr>
          <w:trHeight w:val="567" w:hRule="atLeast"/>
        </w:trPr>
        <w:tc>
          <w:tcPr>
            <w:tcW w:w="8404" w:type="dxa"/>
            <w:gridSpan w:val="3"/>
            <w:tcBorders>
              <w:top w:val="single" w:sz="4" w:space="0" w:color="000000"/>
              <w:start w:val="single" w:sz="4" w:space="0" w:color="000000"/>
              <w:bottom w:val="single" w:sz="4" w:space="0" w:color="000000"/>
              <w:end w:val="single" w:sz="4" w:space="0" w:color="000000"/>
            </w:tcBorders>
          </w:tcPr>
          <w:p>
            <w:pPr>
              <w:pStyle w:val="Normal"/>
              <w:widowControl/>
              <w:numPr>
                <w:ilvl w:val="0"/>
                <w:numId w:val="0"/>
              </w:numPr>
              <w:spacing w:lineRule="auto" w:line="360" w:before="100" w:after="0"/>
              <w:contextualSpacing/>
              <w:jc w:val="center"/>
              <w:outlineLvl w:val="2"/>
              <w:rPr>
                <w:rFonts w:ascii="宋体" w:hAnsi="宋体" w:cs="宋体" w:hint="eastAsia"/>
                <w:color w:val="000000"/>
                <w:szCs w:val="21"/>
              </w:rPr>
            </w:pPr>
            <w:r>
              <w:rPr>
                <w:rFonts w:ascii="宋体" w:hAnsi="宋体" w:cs="宋体" w:hint="eastAsia"/>
                <w:b/>
                <w:szCs w:val="21"/>
              </w:rPr>
              <w:t>企业管理</w:t>
            </w:r>
            <w:r>
              <w:rPr>
                <w:rFonts w:ascii="宋体" w:hAnsi="宋体" w:cs="宋体"/>
                <w:b/>
                <w:szCs w:val="21"/>
              </w:rPr>
              <w:t>专业课程设置</w:t>
            </w:r>
          </w:p>
        </w:tc>
      </w:tr>
      <w:tr>
        <w:trPr>
          <w:trHeight w:val="567" w:hRule="atLeast"/>
        </w:trPr>
        <w:tc>
          <w:tcPr>
            <w:tcW w:w="2524" w:type="dxa"/>
            <w:tcBorders>
              <w:top w:val="single" w:sz="4" w:space="0" w:color="000000"/>
              <w:start w:val="single" w:sz="4" w:space="0" w:color="000000"/>
              <w:bottom w:val="single" w:sz="4" w:space="0" w:color="000000"/>
              <w:end w:val="single" w:sz="4" w:space="0" w:color="000000"/>
            </w:tcBorders>
          </w:tcPr>
          <w:p>
            <w:pPr>
              <w:pStyle w:val="Normal"/>
              <w:widowControl/>
              <w:numPr>
                <w:ilvl w:val="0"/>
                <w:numId w:val="0"/>
              </w:numPr>
              <w:spacing w:lineRule="auto" w:line="360" w:before="0" w:after="0"/>
              <w:jc w:val="center"/>
              <w:outlineLvl w:val="2"/>
              <w:rPr>
                <w:rFonts w:ascii="宋体" w:hAnsi="宋体" w:cs="宋体" w:hint="eastAsia"/>
                <w:color w:val="000000"/>
                <w:szCs w:val="21"/>
              </w:rPr>
            </w:pPr>
            <w:r>
              <w:rPr>
                <w:rFonts w:ascii="宋体" w:hAnsi="宋体" w:cs="宋体" w:hint="eastAsia"/>
                <w:color w:val="000000"/>
                <w:szCs w:val="21"/>
              </w:rPr>
              <w:t>综合英语</w:t>
            </w:r>
          </w:p>
        </w:tc>
        <w:tc>
          <w:tcPr>
            <w:tcW w:w="2400" w:type="dxa"/>
            <w:tcBorders>
              <w:top w:val="single" w:sz="4" w:space="0" w:color="000000"/>
              <w:start w:val="single" w:sz="4" w:space="0" w:color="000000"/>
              <w:bottom w:val="single" w:sz="4" w:space="0" w:color="000000"/>
              <w:end w:val="single" w:sz="4" w:space="0" w:color="000000"/>
            </w:tcBorders>
          </w:tcPr>
          <w:p>
            <w:pPr>
              <w:pStyle w:val="Normal"/>
              <w:widowControl/>
              <w:numPr>
                <w:ilvl w:val="0"/>
                <w:numId w:val="0"/>
              </w:numPr>
              <w:spacing w:lineRule="auto" w:line="360" w:before="0" w:after="0"/>
              <w:jc w:val="center"/>
              <w:outlineLvl w:val="2"/>
              <w:rPr>
                <w:rFonts w:ascii="宋体" w:hAnsi="宋体" w:cs="宋体" w:hint="eastAsia"/>
                <w:color w:val="000000"/>
                <w:szCs w:val="21"/>
              </w:rPr>
            </w:pPr>
            <w:r>
              <w:rPr>
                <w:rFonts w:ascii="宋体" w:hAnsi="宋体" w:cs="宋体" w:hint="eastAsia"/>
                <w:color w:val="000000"/>
                <w:szCs w:val="21"/>
              </w:rPr>
              <w:t>研究方法与论文写作</w:t>
            </w:r>
          </w:p>
        </w:tc>
        <w:tc>
          <w:tcPr>
            <w:tcW w:w="3480" w:type="dxa"/>
            <w:tcBorders>
              <w:top w:val="single" w:sz="4" w:space="0" w:color="000000"/>
              <w:start w:val="single" w:sz="4" w:space="0" w:color="000000"/>
              <w:bottom w:val="single" w:sz="4" w:space="0" w:color="000000"/>
              <w:end w:val="single" w:sz="4" w:space="0" w:color="000000"/>
            </w:tcBorders>
          </w:tcPr>
          <w:p>
            <w:pPr>
              <w:pStyle w:val="Normal"/>
              <w:widowControl/>
              <w:numPr>
                <w:ilvl w:val="0"/>
                <w:numId w:val="0"/>
              </w:numPr>
              <w:spacing w:lineRule="auto" w:line="360" w:before="0" w:after="0"/>
              <w:jc w:val="center"/>
              <w:outlineLvl w:val="2"/>
              <w:rPr>
                <w:rFonts w:ascii="宋体" w:hAnsi="宋体" w:cs="宋体" w:hint="eastAsia"/>
                <w:color w:val="000000"/>
                <w:szCs w:val="21"/>
              </w:rPr>
            </w:pPr>
            <w:r>
              <w:rPr>
                <w:rFonts w:ascii="宋体" w:hAnsi="宋体" w:cs="宋体" w:hint="eastAsia"/>
                <w:color w:val="000000"/>
                <w:szCs w:val="21"/>
              </w:rPr>
              <w:t>中国特色社会主义理论与实践研究</w:t>
            </w:r>
          </w:p>
        </w:tc>
      </w:tr>
      <w:tr>
        <w:trPr>
          <w:trHeight w:val="567" w:hRule="atLeast"/>
        </w:trPr>
        <w:tc>
          <w:tcPr>
            <w:tcW w:w="2524" w:type="dxa"/>
            <w:tcBorders>
              <w:top w:val="single" w:sz="4" w:space="0" w:color="000000"/>
              <w:start w:val="single" w:sz="4" w:space="0" w:color="000000"/>
              <w:bottom w:val="single" w:sz="4" w:space="0" w:color="000000"/>
              <w:end w:val="single" w:sz="4" w:space="0" w:color="000000"/>
            </w:tcBorders>
          </w:tcPr>
          <w:p>
            <w:pPr>
              <w:pStyle w:val="Normal"/>
              <w:widowControl/>
              <w:numPr>
                <w:ilvl w:val="0"/>
                <w:numId w:val="0"/>
              </w:numPr>
              <w:spacing w:lineRule="auto" w:line="360" w:before="0" w:after="0"/>
              <w:jc w:val="center"/>
              <w:outlineLvl w:val="2"/>
              <w:rPr>
                <w:rFonts w:ascii="宋体" w:hAnsi="宋体" w:cs="宋体" w:hint="eastAsia"/>
                <w:color w:val="000000"/>
                <w:szCs w:val="21"/>
              </w:rPr>
            </w:pPr>
            <w:r>
              <w:rPr>
                <w:rFonts w:ascii="宋体" w:hAnsi="宋体" w:cs="宋体" w:hint="eastAsia"/>
                <w:color w:val="000000"/>
                <w:szCs w:val="21"/>
              </w:rPr>
              <w:t>自然辩证法概论</w:t>
            </w:r>
          </w:p>
        </w:tc>
        <w:tc>
          <w:tcPr>
            <w:tcW w:w="2400" w:type="dxa"/>
            <w:tcBorders>
              <w:top w:val="single" w:sz="4" w:space="0" w:color="000000"/>
              <w:start w:val="single" w:sz="4" w:space="0" w:color="000000"/>
              <w:bottom w:val="single" w:sz="4" w:space="0" w:color="000000"/>
              <w:end w:val="single" w:sz="4" w:space="0" w:color="000000"/>
            </w:tcBorders>
          </w:tcPr>
          <w:p>
            <w:pPr>
              <w:pStyle w:val="Normal"/>
              <w:widowControl/>
              <w:numPr>
                <w:ilvl w:val="0"/>
                <w:numId w:val="0"/>
              </w:numPr>
              <w:spacing w:lineRule="auto" w:line="360" w:before="0" w:after="0"/>
              <w:jc w:val="center"/>
              <w:outlineLvl w:val="2"/>
              <w:rPr>
                <w:rFonts w:ascii="宋体" w:hAnsi="宋体" w:cs="宋体" w:hint="eastAsia"/>
                <w:color w:val="000000"/>
                <w:szCs w:val="21"/>
                <w:shd w:fill="FFFFFF" w:val="clear"/>
              </w:rPr>
            </w:pPr>
            <w:r>
              <w:rPr>
                <w:rFonts w:ascii="宋体" w:hAnsi="宋体" w:cs="宋体" w:hint="eastAsia"/>
                <w:color w:val="000000"/>
                <w:szCs w:val="21"/>
                <w:shd w:fill="FFFFFF" w:val="clear"/>
              </w:rPr>
              <w:t>电子商务</w:t>
            </w:r>
          </w:p>
        </w:tc>
        <w:tc>
          <w:tcPr>
            <w:tcW w:w="3480" w:type="dxa"/>
            <w:tcBorders>
              <w:top w:val="single" w:sz="4" w:space="0" w:color="000000"/>
              <w:start w:val="single" w:sz="4" w:space="0" w:color="000000"/>
              <w:bottom w:val="single" w:sz="4" w:space="0" w:color="000000"/>
              <w:end w:val="single" w:sz="4" w:space="0" w:color="000000"/>
            </w:tcBorders>
          </w:tcPr>
          <w:p>
            <w:pPr>
              <w:pStyle w:val="Normal"/>
              <w:widowControl/>
              <w:numPr>
                <w:ilvl w:val="0"/>
                <w:numId w:val="0"/>
              </w:numPr>
              <w:spacing w:lineRule="auto" w:line="360" w:before="0" w:after="0"/>
              <w:jc w:val="center"/>
              <w:outlineLvl w:val="2"/>
              <w:rPr>
                <w:rFonts w:ascii="宋体" w:hAnsi="宋体" w:cs="宋体" w:hint="eastAsia"/>
                <w:color w:val="000000"/>
                <w:szCs w:val="21"/>
                <w:shd w:fill="FFFFFF" w:val="clear"/>
              </w:rPr>
            </w:pPr>
            <w:r>
              <w:rPr>
                <w:rFonts w:ascii="宋体" w:hAnsi="宋体" w:cs="宋体" w:hint="eastAsia"/>
                <w:color w:val="000000"/>
                <w:szCs w:val="21"/>
                <w:shd w:fill="FFFFFF" w:val="clear"/>
              </w:rPr>
              <w:t>会计学</w:t>
            </w:r>
          </w:p>
        </w:tc>
      </w:tr>
      <w:tr>
        <w:trPr>
          <w:trHeight w:val="567" w:hRule="atLeast"/>
        </w:trPr>
        <w:tc>
          <w:tcPr>
            <w:tcW w:w="2524" w:type="dxa"/>
            <w:tcBorders>
              <w:top w:val="single" w:sz="4" w:space="0" w:color="000000"/>
              <w:start w:val="single" w:sz="4" w:space="0" w:color="000000"/>
              <w:bottom w:val="single" w:sz="4" w:space="0" w:color="000000"/>
              <w:end w:val="single" w:sz="4" w:space="0" w:color="000000"/>
            </w:tcBorders>
          </w:tcPr>
          <w:p>
            <w:pPr>
              <w:pStyle w:val="Normal"/>
              <w:widowControl/>
              <w:numPr>
                <w:ilvl w:val="0"/>
                <w:numId w:val="0"/>
              </w:numPr>
              <w:spacing w:lineRule="auto" w:line="360" w:before="0" w:after="0"/>
              <w:jc w:val="center"/>
              <w:outlineLvl w:val="2"/>
              <w:rPr>
                <w:rFonts w:ascii="宋体" w:hAnsi="宋体" w:cs="宋体" w:hint="eastAsia"/>
                <w:color w:val="000000"/>
                <w:szCs w:val="21"/>
                <w:shd w:fill="FFFFFF" w:val="clear"/>
              </w:rPr>
            </w:pPr>
            <w:r>
              <w:rPr>
                <w:rFonts w:ascii="宋体" w:hAnsi="宋体" w:cs="宋体" w:hint="eastAsia"/>
                <w:color w:val="000000"/>
                <w:szCs w:val="21"/>
                <w:shd w:fill="FFFFFF" w:val="clear"/>
              </w:rPr>
              <w:t>商务沟通</w:t>
            </w:r>
          </w:p>
        </w:tc>
        <w:tc>
          <w:tcPr>
            <w:tcW w:w="2400" w:type="dxa"/>
            <w:tcBorders>
              <w:top w:val="single" w:sz="4" w:space="0" w:color="000000"/>
              <w:start w:val="single" w:sz="4" w:space="0" w:color="000000"/>
              <w:bottom w:val="single" w:sz="4" w:space="0" w:color="000000"/>
              <w:end w:val="single" w:sz="4" w:space="0" w:color="000000"/>
            </w:tcBorders>
          </w:tcPr>
          <w:p>
            <w:pPr>
              <w:pStyle w:val="Normal"/>
              <w:widowControl/>
              <w:numPr>
                <w:ilvl w:val="0"/>
                <w:numId w:val="0"/>
              </w:numPr>
              <w:spacing w:lineRule="auto" w:line="360" w:before="0" w:after="0"/>
              <w:jc w:val="center"/>
              <w:outlineLvl w:val="2"/>
              <w:rPr>
                <w:rFonts w:ascii="宋体" w:hAnsi="宋体" w:cs="宋体" w:hint="eastAsia"/>
                <w:color w:val="000000"/>
                <w:szCs w:val="21"/>
                <w:shd w:fill="FFFFFF" w:val="clear"/>
              </w:rPr>
            </w:pPr>
            <w:r>
              <w:rPr>
                <w:rFonts w:ascii="宋体" w:hAnsi="宋体" w:cs="宋体" w:hint="eastAsia"/>
                <w:color w:val="000000"/>
                <w:szCs w:val="21"/>
                <w:shd w:fill="FFFFFF" w:val="clear"/>
              </w:rPr>
              <w:t>项目管理</w:t>
            </w:r>
          </w:p>
        </w:tc>
        <w:tc>
          <w:tcPr>
            <w:tcW w:w="3480" w:type="dxa"/>
            <w:tcBorders>
              <w:top w:val="single" w:sz="4" w:space="0" w:color="000000"/>
              <w:start w:val="single" w:sz="4" w:space="0" w:color="000000"/>
              <w:bottom w:val="single" w:sz="4" w:space="0" w:color="000000"/>
              <w:end w:val="single" w:sz="4" w:space="0" w:color="000000"/>
            </w:tcBorders>
          </w:tcPr>
          <w:p>
            <w:pPr>
              <w:pStyle w:val="Normal"/>
              <w:widowControl/>
              <w:numPr>
                <w:ilvl w:val="0"/>
                <w:numId w:val="0"/>
              </w:numPr>
              <w:spacing w:lineRule="auto" w:line="360" w:before="0" w:after="0"/>
              <w:jc w:val="center"/>
              <w:outlineLvl w:val="2"/>
              <w:rPr>
                <w:rFonts w:ascii="宋体" w:hAnsi="宋体" w:cs="宋体" w:hint="eastAsia"/>
                <w:color w:val="000000"/>
                <w:szCs w:val="21"/>
                <w:shd w:fill="FFFFFF" w:val="clear"/>
              </w:rPr>
            </w:pPr>
            <w:r>
              <w:rPr>
                <w:rFonts w:ascii="宋体" w:hAnsi="宋体" w:cs="宋体" w:hint="eastAsia"/>
                <w:color w:val="000000"/>
                <w:szCs w:val="21"/>
                <w:shd w:fill="FFFFFF" w:val="clear"/>
              </w:rPr>
              <w:t>管理经济学</w:t>
            </w:r>
          </w:p>
        </w:tc>
      </w:tr>
      <w:tr>
        <w:trPr>
          <w:trHeight w:val="567" w:hRule="atLeast"/>
        </w:trPr>
        <w:tc>
          <w:tcPr>
            <w:tcW w:w="2524" w:type="dxa"/>
            <w:tcBorders>
              <w:top w:val="single" w:sz="4" w:space="0" w:color="000000"/>
              <w:start w:val="single" w:sz="4" w:space="0" w:color="000000"/>
              <w:bottom w:val="single" w:sz="4" w:space="0" w:color="000000"/>
              <w:end w:val="single" w:sz="4" w:space="0" w:color="000000"/>
            </w:tcBorders>
          </w:tcPr>
          <w:p>
            <w:pPr>
              <w:pStyle w:val="Normal"/>
              <w:widowControl/>
              <w:numPr>
                <w:ilvl w:val="0"/>
                <w:numId w:val="0"/>
              </w:numPr>
              <w:spacing w:lineRule="auto" w:line="360" w:before="0" w:after="0"/>
              <w:jc w:val="center"/>
              <w:outlineLvl w:val="2"/>
              <w:rPr>
                <w:rFonts w:ascii="宋体" w:hAnsi="宋体" w:cs="宋体" w:hint="eastAsia"/>
                <w:color w:val="000000"/>
                <w:szCs w:val="21"/>
                <w:shd w:fill="FFFFFF" w:val="clear"/>
              </w:rPr>
            </w:pPr>
            <w:r>
              <w:rPr>
                <w:rFonts w:ascii="宋体" w:hAnsi="宋体" w:cs="宋体" w:hint="eastAsia"/>
                <w:color w:val="000000"/>
                <w:szCs w:val="21"/>
                <w:shd w:fill="FFFFFF" w:val="clear"/>
              </w:rPr>
              <w:t>人力资源管理</w:t>
            </w:r>
          </w:p>
        </w:tc>
        <w:tc>
          <w:tcPr>
            <w:tcW w:w="2400" w:type="dxa"/>
            <w:tcBorders>
              <w:top w:val="single" w:sz="4" w:space="0" w:color="000000"/>
              <w:start w:val="single" w:sz="4" w:space="0" w:color="000000"/>
              <w:bottom w:val="single" w:sz="4" w:space="0" w:color="000000"/>
              <w:end w:val="single" w:sz="4" w:space="0" w:color="000000"/>
            </w:tcBorders>
          </w:tcPr>
          <w:p>
            <w:pPr>
              <w:pStyle w:val="Normal"/>
              <w:widowControl/>
              <w:numPr>
                <w:ilvl w:val="0"/>
                <w:numId w:val="0"/>
              </w:numPr>
              <w:spacing w:lineRule="auto" w:line="360" w:before="0" w:after="0"/>
              <w:jc w:val="center"/>
              <w:outlineLvl w:val="2"/>
              <w:rPr>
                <w:rFonts w:ascii="宋体" w:hAnsi="宋体" w:cs="宋体" w:hint="eastAsia"/>
                <w:color w:val="000000"/>
                <w:szCs w:val="21"/>
                <w:shd w:fill="FFFFFF" w:val="clear"/>
              </w:rPr>
            </w:pPr>
            <w:r>
              <w:rPr>
                <w:rFonts w:ascii="宋体" w:hAnsi="宋体" w:cs="宋体" w:hint="eastAsia"/>
                <w:color w:val="000000"/>
                <w:szCs w:val="21"/>
                <w:shd w:fill="FFFFFF" w:val="clear"/>
              </w:rPr>
              <w:t>高等管理学</w:t>
            </w:r>
          </w:p>
        </w:tc>
        <w:tc>
          <w:tcPr>
            <w:tcW w:w="3480" w:type="dxa"/>
            <w:tcBorders>
              <w:top w:val="single" w:sz="4" w:space="0" w:color="000000"/>
              <w:start w:val="single" w:sz="4" w:space="0" w:color="000000"/>
              <w:bottom w:val="single" w:sz="4" w:space="0" w:color="000000"/>
              <w:end w:val="single" w:sz="4" w:space="0" w:color="000000"/>
            </w:tcBorders>
          </w:tcPr>
          <w:p>
            <w:pPr>
              <w:pStyle w:val="Normal"/>
              <w:widowControl/>
              <w:numPr>
                <w:ilvl w:val="0"/>
                <w:numId w:val="0"/>
              </w:numPr>
              <w:spacing w:lineRule="auto" w:line="360" w:before="0" w:after="0"/>
              <w:jc w:val="center"/>
              <w:outlineLvl w:val="2"/>
              <w:rPr>
                <w:rFonts w:ascii="宋体" w:hAnsi="宋体" w:cs="宋体" w:hint="eastAsia"/>
                <w:color w:val="000000"/>
                <w:szCs w:val="21"/>
                <w:shd w:fill="FFFFFF" w:val="clear"/>
              </w:rPr>
            </w:pPr>
            <w:r>
              <w:rPr>
                <w:rFonts w:ascii="宋体" w:hAnsi="宋体" w:cs="宋体" w:hint="eastAsia"/>
                <w:color w:val="000000"/>
                <w:szCs w:val="21"/>
                <w:shd w:fill="FFFFFF" w:val="clear"/>
              </w:rPr>
              <w:t>大数据与商业分析</w:t>
            </w:r>
          </w:p>
        </w:tc>
      </w:tr>
      <w:tr>
        <w:trPr>
          <w:trHeight w:val="567" w:hRule="atLeast"/>
        </w:trPr>
        <w:tc>
          <w:tcPr>
            <w:tcW w:w="2524" w:type="dxa"/>
            <w:tcBorders>
              <w:top w:val="single" w:sz="4" w:space="0" w:color="000000"/>
              <w:start w:val="single" w:sz="4" w:space="0" w:color="000000"/>
              <w:bottom w:val="single" w:sz="4" w:space="0" w:color="000000"/>
              <w:end w:val="single" w:sz="4" w:space="0" w:color="000000"/>
            </w:tcBorders>
          </w:tcPr>
          <w:p>
            <w:pPr>
              <w:pStyle w:val="Normal"/>
              <w:widowControl/>
              <w:numPr>
                <w:ilvl w:val="0"/>
                <w:numId w:val="0"/>
              </w:numPr>
              <w:spacing w:lineRule="auto" w:line="360" w:before="0" w:after="0"/>
              <w:jc w:val="center"/>
              <w:outlineLvl w:val="2"/>
              <w:rPr>
                <w:rFonts w:ascii="宋体" w:hAnsi="宋体" w:cs="宋体" w:hint="eastAsia"/>
                <w:color w:val="000000"/>
                <w:szCs w:val="21"/>
                <w:shd w:fill="FFFFFF" w:val="clear"/>
              </w:rPr>
            </w:pPr>
            <w:r>
              <w:rPr>
                <w:rFonts w:ascii="宋体" w:hAnsi="宋体" w:cs="宋体" w:hint="eastAsia"/>
                <w:color w:val="000000"/>
                <w:szCs w:val="21"/>
                <w:shd w:fill="FFFFFF" w:val="clear"/>
              </w:rPr>
              <w:t>战略管理</w:t>
            </w:r>
          </w:p>
        </w:tc>
        <w:tc>
          <w:tcPr>
            <w:tcW w:w="2400" w:type="dxa"/>
            <w:tcBorders>
              <w:top w:val="single" w:sz="4" w:space="0" w:color="000000"/>
              <w:start w:val="single" w:sz="4" w:space="0" w:color="000000"/>
              <w:bottom w:val="single" w:sz="4" w:space="0" w:color="000000"/>
              <w:end w:val="single" w:sz="4" w:space="0" w:color="000000"/>
            </w:tcBorders>
          </w:tcPr>
          <w:p>
            <w:pPr>
              <w:pStyle w:val="Normal"/>
              <w:widowControl/>
              <w:numPr>
                <w:ilvl w:val="0"/>
                <w:numId w:val="0"/>
              </w:numPr>
              <w:spacing w:lineRule="auto" w:line="360" w:before="0" w:after="0"/>
              <w:jc w:val="center"/>
              <w:outlineLvl w:val="2"/>
              <w:rPr>
                <w:rFonts w:ascii="宋体" w:hAnsi="宋体" w:cs="宋体" w:hint="eastAsia"/>
                <w:color w:val="000000"/>
                <w:szCs w:val="21"/>
                <w:shd w:fill="FFFFFF" w:val="clear"/>
              </w:rPr>
            </w:pPr>
            <w:r>
              <w:rPr>
                <w:rFonts w:ascii="宋体" w:hAnsi="宋体" w:cs="宋体" w:hint="eastAsia"/>
                <w:color w:val="000000"/>
                <w:szCs w:val="21"/>
                <w:shd w:fill="FFFFFF" w:val="clear"/>
              </w:rPr>
              <w:t>高级营销管理</w:t>
            </w:r>
          </w:p>
        </w:tc>
        <w:tc>
          <w:tcPr>
            <w:tcW w:w="3480" w:type="dxa"/>
            <w:tcBorders>
              <w:top w:val="single" w:sz="4" w:space="0" w:color="000000"/>
              <w:start w:val="single" w:sz="4" w:space="0" w:color="000000"/>
              <w:bottom w:val="single" w:sz="4" w:space="0" w:color="000000"/>
              <w:end w:val="single" w:sz="4" w:space="0" w:color="000000"/>
            </w:tcBorders>
          </w:tcPr>
          <w:p>
            <w:pPr>
              <w:pStyle w:val="Normal"/>
              <w:widowControl/>
              <w:numPr>
                <w:ilvl w:val="0"/>
                <w:numId w:val="0"/>
              </w:numPr>
              <w:spacing w:lineRule="auto" w:line="360" w:before="0" w:after="0"/>
              <w:jc w:val="center"/>
              <w:outlineLvl w:val="2"/>
              <w:rPr>
                <w:rFonts w:ascii="宋体" w:hAnsi="宋体" w:cs="宋体" w:hint="eastAsia"/>
                <w:color w:val="000000"/>
                <w:szCs w:val="21"/>
                <w:shd w:fill="FFFFFF" w:val="clear"/>
              </w:rPr>
            </w:pPr>
            <w:r>
              <w:rPr>
                <w:rFonts w:ascii="宋体" w:hAnsi="宋体" w:cs="宋体" w:hint="eastAsia"/>
                <w:color w:val="000000"/>
                <w:szCs w:val="21"/>
                <w:shd w:fill="FFFFFF" w:val="clear"/>
              </w:rPr>
              <w:t>运营管理</w:t>
            </w:r>
          </w:p>
        </w:tc>
      </w:tr>
      <w:tr>
        <w:trPr>
          <w:trHeight w:val="567" w:hRule="atLeast"/>
        </w:trPr>
        <w:tc>
          <w:tcPr>
            <w:tcW w:w="2524" w:type="dxa"/>
            <w:tcBorders>
              <w:top w:val="single" w:sz="4" w:space="0" w:color="000000"/>
              <w:start w:val="single" w:sz="4" w:space="0" w:color="000000"/>
              <w:bottom w:val="single" w:sz="4" w:space="0" w:color="000000"/>
              <w:end w:val="single" w:sz="4" w:space="0" w:color="000000"/>
            </w:tcBorders>
          </w:tcPr>
          <w:p>
            <w:pPr>
              <w:pStyle w:val="Normal"/>
              <w:widowControl/>
              <w:numPr>
                <w:ilvl w:val="0"/>
                <w:numId w:val="0"/>
              </w:numPr>
              <w:spacing w:lineRule="auto" w:line="360" w:before="0" w:after="0"/>
              <w:jc w:val="center"/>
              <w:outlineLvl w:val="2"/>
              <w:rPr>
                <w:rFonts w:ascii="宋体" w:hAnsi="宋体" w:cs="宋体" w:hint="eastAsia"/>
                <w:color w:val="000000"/>
                <w:szCs w:val="21"/>
                <w:shd w:fill="FFFFFF" w:val="clear"/>
              </w:rPr>
            </w:pPr>
            <w:r>
              <w:rPr>
                <w:rFonts w:ascii="宋体" w:hAnsi="宋体" w:cs="宋体" w:hint="eastAsia"/>
                <w:color w:val="000000"/>
                <w:szCs w:val="21"/>
                <w:shd w:fill="FFFFFF" w:val="clear"/>
              </w:rPr>
              <w:t>财务管理</w:t>
            </w:r>
          </w:p>
        </w:tc>
        <w:tc>
          <w:tcPr>
            <w:tcW w:w="2400" w:type="dxa"/>
            <w:tcBorders>
              <w:top w:val="single" w:sz="4" w:space="0" w:color="000000"/>
              <w:start w:val="single" w:sz="4" w:space="0" w:color="000000"/>
              <w:bottom w:val="single" w:sz="4" w:space="0" w:color="000000"/>
              <w:end w:val="single" w:sz="4" w:space="0" w:color="000000"/>
            </w:tcBorders>
          </w:tcPr>
          <w:p>
            <w:pPr>
              <w:pStyle w:val="Normal"/>
              <w:widowControl/>
              <w:numPr>
                <w:ilvl w:val="0"/>
                <w:numId w:val="0"/>
              </w:numPr>
              <w:spacing w:lineRule="auto" w:line="360" w:before="0" w:after="0"/>
              <w:jc w:val="center"/>
              <w:outlineLvl w:val="2"/>
              <w:rPr>
                <w:rFonts w:ascii="宋体" w:hAnsi="宋体" w:cs="宋体" w:hint="eastAsia"/>
                <w:color w:val="000000"/>
                <w:szCs w:val="21"/>
                <w:shd w:fill="FFFFFF" w:val="clear"/>
              </w:rPr>
            </w:pPr>
            <w:r>
              <w:rPr>
                <w:rFonts w:ascii="宋体" w:hAnsi="宋体" w:cs="宋体" w:hint="eastAsia"/>
                <w:color w:val="000000"/>
                <w:szCs w:val="21"/>
                <w:shd w:fill="FFFFFF" w:val="clear"/>
              </w:rPr>
              <w:t>博弈论</w:t>
            </w:r>
          </w:p>
        </w:tc>
        <w:tc>
          <w:tcPr>
            <w:tcW w:w="3480" w:type="dxa"/>
            <w:tcBorders>
              <w:top w:val="single" w:sz="4" w:space="0" w:color="000000"/>
              <w:start w:val="single" w:sz="4" w:space="0" w:color="000000"/>
              <w:bottom w:val="single" w:sz="4" w:space="0" w:color="000000"/>
              <w:end w:val="single" w:sz="4" w:space="0" w:color="000000"/>
            </w:tcBorders>
          </w:tcPr>
          <w:p>
            <w:pPr>
              <w:pStyle w:val="Normal"/>
              <w:widowControl/>
              <w:numPr>
                <w:ilvl w:val="0"/>
                <w:numId w:val="0"/>
              </w:numPr>
              <w:snapToGrid w:val="false"/>
              <w:spacing w:lineRule="auto" w:line="360" w:before="0" w:after="0"/>
              <w:jc w:val="center"/>
              <w:outlineLvl w:val="2"/>
              <w:rPr>
                <w:rFonts w:ascii="宋体" w:hAnsi="宋体" w:cs="宋体" w:hint="eastAsia"/>
                <w:color w:val="000000"/>
                <w:szCs w:val="21"/>
                <w:shd w:fill="FFFFFF" w:val="clear"/>
              </w:rPr>
            </w:pPr>
            <w:r>
              <w:rPr>
                <w:rFonts w:cs="宋体" w:hint="eastAsia" w:ascii="宋体" w:hAnsi="宋体"/>
                <w:color w:val="000000"/>
                <w:szCs w:val="21"/>
                <w:shd w:fill="FFFFFF" w:val="clear"/>
              </w:rPr>
            </w:r>
          </w:p>
        </w:tc>
      </w:tr>
    </w:tbl>
    <w:p>
      <w:pPr>
        <w:pStyle w:val="Style18"/>
        <w:snapToGrid w:val="false"/>
        <w:spacing w:lineRule="auto" w:line="360" w:before="100" w:after="100"/>
        <w:ind w:firstLineChars="1300" w:startChars="0" w:start="0" w:endChars="0" w:end="0"/>
        <w:contextualSpacing/>
        <w:rPr>
          <w:rFonts w:hint="eastAsia"/>
          <w:sz w:val="21"/>
          <w:szCs w:val="21"/>
        </w:rPr>
      </w:pPr>
      <w:r>
        <w:rPr>
          <w:rFonts w:hint="eastAsia"/>
          <w:sz w:val="21"/>
          <w:szCs w:val="21"/>
        </w:rPr>
      </w:r>
    </w:p>
    <w:p>
      <w:pPr>
        <w:pStyle w:val="Style18"/>
        <w:snapToGrid w:val="false"/>
        <w:spacing w:lineRule="auto" w:line="360" w:before="100" w:after="100"/>
        <w:ind w:firstLineChars="1300" w:startChars="0" w:start="0" w:endChars="0" w:end="0"/>
        <w:contextualSpacing/>
        <w:rPr>
          <w:rFonts w:hint="eastAsia"/>
          <w:sz w:val="21"/>
          <w:szCs w:val="21"/>
        </w:rPr>
      </w:pPr>
      <w:r>
        <w:rPr>
          <w:rFonts w:hint="eastAsia"/>
          <w:sz w:val="21"/>
          <w:szCs w:val="21"/>
        </w:rPr>
        <w:t>注：部分课程教学参照实际</w:t>
      </w:r>
    </w:p>
    <w:p>
      <w:pPr>
        <w:pStyle w:val="Style18"/>
        <w:snapToGrid w:val="false"/>
        <w:spacing w:lineRule="auto" w:line="360" w:before="100" w:after="100"/>
        <w:contextualSpacing/>
        <w:rPr>
          <w:rFonts w:hint="eastAsia"/>
          <w:sz w:val="21"/>
          <w:szCs w:val="21"/>
        </w:rPr>
      </w:pPr>
      <w:r>
        <w:rPr>
          <w:rFonts w:hint="eastAsia"/>
          <w:sz w:val="21"/>
          <w:szCs w:val="21"/>
        </w:rPr>
      </w:r>
    </w:p>
    <w:p>
      <w:pPr>
        <w:pStyle w:val="Style18"/>
        <w:snapToGrid w:val="false"/>
        <w:spacing w:lineRule="auto" w:line="360" w:before="100" w:after="100"/>
        <w:contextualSpacing/>
        <w:rPr>
          <w:rFonts w:hint="eastAsia"/>
          <w:sz w:val="21"/>
          <w:szCs w:val="21"/>
        </w:rPr>
      </w:pPr>
      <w:r>
        <w:rPr>
          <w:rFonts w:hint="eastAsia"/>
          <w:sz w:val="21"/>
          <w:szCs w:val="21"/>
        </w:rPr>
      </w:r>
    </w:p>
    <w:p>
      <w:pPr>
        <w:pStyle w:val="Style18"/>
        <w:snapToGrid w:val="false"/>
        <w:spacing w:lineRule="auto" w:line="360" w:before="100" w:after="100"/>
        <w:contextualSpacing/>
        <w:rPr>
          <w:b/>
          <w:color w:val="0070C0"/>
          <w:sz w:val="21"/>
          <w:szCs w:val="21"/>
        </w:rPr>
      </w:pPr>
      <w:r>
        <w:rPr>
          <w:rFonts w:hint="eastAsia"/>
          <w:b/>
          <w:color w:val="0070C0"/>
          <w:sz w:val="21"/>
          <w:szCs w:val="21"/>
        </w:rPr>
        <w:t>五</w:t>
      </w:r>
      <w:r>
        <w:rPr>
          <w:b/>
          <w:color w:val="0070C0"/>
          <w:sz w:val="21"/>
          <w:szCs w:val="21"/>
        </w:rPr>
        <w:t>、报考条件</w:t>
      </w:r>
    </w:p>
    <w:p>
      <w:pPr>
        <w:pStyle w:val="Style18"/>
        <w:snapToGrid w:val="false"/>
        <w:spacing w:lineRule="auto" w:line="360" w:before="100" w:after="100"/>
        <w:contextualSpacing/>
        <w:rPr>
          <w:sz w:val="21"/>
          <w:szCs w:val="21"/>
        </w:rPr>
      </w:pPr>
      <w:r>
        <w:rPr>
          <w:sz w:val="21"/>
          <w:szCs w:val="21"/>
        </w:rPr>
        <w:t>　</w:t>
      </w:r>
      <w:r>
        <w:rPr>
          <w:sz w:val="21"/>
          <w:szCs w:val="21"/>
        </w:rPr>
        <w:t>1</w:t>
      </w:r>
      <w:r>
        <w:rPr>
          <w:rFonts w:hint="eastAsia"/>
          <w:sz w:val="21"/>
          <w:szCs w:val="21"/>
        </w:rPr>
        <w:t>.</w:t>
      </w:r>
      <w:r>
        <w:rPr>
          <w:sz w:val="21"/>
          <w:szCs w:val="21"/>
        </w:rPr>
        <w:t>遵纪守法，品行端正，在教学</w:t>
      </w:r>
      <w:r>
        <w:rPr>
          <w:rFonts w:hint="eastAsia"/>
          <w:sz w:val="21"/>
          <w:szCs w:val="21"/>
        </w:rPr>
        <w:t>、</w:t>
      </w:r>
      <w:r>
        <w:rPr>
          <w:sz w:val="21"/>
          <w:szCs w:val="21"/>
        </w:rPr>
        <w:t>科研、专门技术、管理等方面做出成绩的在职人员</w:t>
      </w:r>
      <w:r>
        <w:rPr>
          <w:rFonts w:hint="eastAsia"/>
          <w:sz w:val="21"/>
          <w:szCs w:val="21"/>
        </w:rPr>
        <w:t>；</w:t>
      </w:r>
    </w:p>
    <w:p>
      <w:pPr>
        <w:pStyle w:val="Style18"/>
        <w:snapToGrid w:val="false"/>
        <w:spacing w:lineRule="auto" w:line="360" w:before="100" w:after="100"/>
        <w:contextualSpacing/>
        <w:rPr>
          <w:sz w:val="21"/>
          <w:szCs w:val="21"/>
        </w:rPr>
      </w:pPr>
      <w:r>
        <w:rPr>
          <w:sz w:val="21"/>
          <w:szCs w:val="21"/>
        </w:rPr>
        <w:t>　</w:t>
      </w:r>
      <w:r>
        <w:rPr>
          <w:sz w:val="21"/>
          <w:szCs w:val="21"/>
        </w:rPr>
        <w:t>2</w:t>
      </w:r>
      <w:r>
        <w:rPr>
          <w:rFonts w:hint="eastAsia"/>
          <w:sz w:val="21"/>
          <w:szCs w:val="21"/>
        </w:rPr>
        <w:t>.</w:t>
      </w:r>
      <w:r>
        <w:rPr>
          <w:sz w:val="21"/>
          <w:szCs w:val="21"/>
        </w:rPr>
        <w:t>已获得学士学位，并在获得学士学位后工作三年以上，或虽无学士学位但已获得硕士或博士学位。对已获得学士、硕士或博士学位为国</w:t>
      </w:r>
      <w:r>
        <w:rPr>
          <w:sz w:val="21"/>
          <w:szCs w:val="21"/>
        </w:rPr>
        <w:t>(</w:t>
      </w:r>
      <w:r>
        <w:rPr>
          <w:sz w:val="21"/>
          <w:szCs w:val="21"/>
        </w:rPr>
        <w:t>境</w:t>
      </w:r>
      <w:r>
        <w:rPr>
          <w:sz w:val="21"/>
          <w:szCs w:val="21"/>
        </w:rPr>
        <w:t>)</w:t>
      </w:r>
      <w:r>
        <w:rPr>
          <w:sz w:val="21"/>
          <w:szCs w:val="21"/>
        </w:rPr>
        <w:t>外学位的，其所获的国</w:t>
      </w:r>
      <w:r>
        <w:rPr>
          <w:sz w:val="21"/>
          <w:szCs w:val="21"/>
        </w:rPr>
        <w:t>(</w:t>
      </w:r>
      <w:r>
        <w:rPr>
          <w:sz w:val="21"/>
          <w:szCs w:val="21"/>
        </w:rPr>
        <w:t>境</w:t>
      </w:r>
      <w:r>
        <w:rPr>
          <w:sz w:val="21"/>
          <w:szCs w:val="21"/>
        </w:rPr>
        <w:t>)</w:t>
      </w:r>
      <w:r>
        <w:rPr>
          <w:sz w:val="21"/>
          <w:szCs w:val="21"/>
        </w:rPr>
        <w:t>外学位需经教育部留学服务中心认证</w:t>
      </w:r>
      <w:r>
        <w:rPr>
          <w:rFonts w:hint="eastAsia"/>
          <w:sz w:val="21"/>
          <w:szCs w:val="21"/>
        </w:rPr>
        <w:t>；</w:t>
      </w:r>
    </w:p>
    <w:p>
      <w:pPr>
        <w:pStyle w:val="Style18"/>
        <w:snapToGrid w:val="false"/>
        <w:spacing w:lineRule="auto" w:line="360" w:before="100" w:after="100"/>
        <w:contextualSpacing/>
        <w:rPr>
          <w:sz w:val="21"/>
          <w:szCs w:val="21"/>
        </w:rPr>
      </w:pPr>
      <w:r>
        <w:rPr>
          <w:rFonts w:hint="eastAsia"/>
          <w:sz w:val="21"/>
          <w:szCs w:val="21"/>
        </w:rPr>
        <w:t xml:space="preserve">  </w:t>
      </w:r>
      <w:r>
        <w:rPr>
          <w:rFonts w:hint="eastAsia"/>
          <w:sz w:val="21"/>
          <w:szCs w:val="21"/>
        </w:rPr>
        <w:t>3.</w:t>
      </w:r>
      <w:r>
        <w:rPr>
          <w:sz w:val="21"/>
          <w:szCs w:val="21"/>
        </w:rPr>
        <w:t>大专学历和本科学历无学士学位者，可参加研修班课程学习。</w:t>
      </w:r>
    </w:p>
    <w:p>
      <w:pPr>
        <w:pStyle w:val="Style18"/>
        <w:snapToGrid w:val="false"/>
        <w:spacing w:lineRule="auto" w:line="360" w:before="100" w:after="100"/>
        <w:ind w:firstLineChars="200" w:startChars="0" w:start="0" w:endChars="0" w:end="0"/>
        <w:contextualSpacing/>
        <w:rPr>
          <w:rFonts w:hint="eastAsia"/>
          <w:sz w:val="21"/>
          <w:szCs w:val="21"/>
        </w:rPr>
      </w:pPr>
      <w:r>
        <w:rPr>
          <w:rFonts w:hint="eastAsia"/>
          <w:sz w:val="21"/>
          <w:szCs w:val="21"/>
        </w:rPr>
      </w:r>
    </w:p>
    <w:p>
      <w:pPr>
        <w:pStyle w:val="Style18"/>
        <w:snapToGrid w:val="false"/>
        <w:spacing w:lineRule="auto" w:line="360" w:before="100" w:after="100"/>
        <w:contextualSpacing/>
        <w:rPr>
          <w:rFonts w:hint="eastAsia"/>
          <w:b/>
          <w:color w:val="0070C0"/>
          <w:sz w:val="21"/>
          <w:szCs w:val="21"/>
        </w:rPr>
      </w:pPr>
      <w:r>
        <w:rPr>
          <w:rFonts w:hint="eastAsia"/>
          <w:b/>
          <w:color w:val="0070C0"/>
          <w:sz w:val="21"/>
          <w:szCs w:val="21"/>
        </w:rPr>
        <w:t>六</w:t>
      </w:r>
      <w:r>
        <w:rPr>
          <w:b/>
          <w:color w:val="0070C0"/>
          <w:sz w:val="21"/>
          <w:szCs w:val="21"/>
        </w:rPr>
        <w:t>、报名材料</w:t>
      </w:r>
    </w:p>
    <w:p>
      <w:pPr>
        <w:pStyle w:val="Style18"/>
        <w:snapToGrid w:val="false"/>
        <w:spacing w:lineRule="auto" w:line="360" w:before="100" w:after="100"/>
        <w:ind w:firstLineChars="200" w:startChars="0" w:start="0" w:endChars="0" w:end="0"/>
        <w:contextualSpacing/>
        <w:rPr>
          <w:sz w:val="21"/>
          <w:szCs w:val="21"/>
        </w:rPr>
      </w:pPr>
      <w:r>
        <w:rPr>
          <w:sz w:val="21"/>
          <w:szCs w:val="21"/>
        </w:rPr>
        <w:t>1.</w:t>
      </w:r>
      <w:r>
        <w:rPr>
          <w:sz w:val="21"/>
          <w:szCs w:val="21"/>
        </w:rPr>
        <w:t>填写《武汉工程</w:t>
      </w:r>
      <w:r>
        <w:rPr>
          <w:rFonts w:hint="eastAsia"/>
          <w:sz w:val="21"/>
          <w:szCs w:val="21"/>
        </w:rPr>
        <w:t>大学</w:t>
      </w:r>
      <w:r>
        <w:rPr>
          <w:sz w:val="21"/>
          <w:szCs w:val="21"/>
        </w:rPr>
        <w:t>同等学力申请硕士学位课程培养报名表》；</w:t>
      </w:r>
    </w:p>
    <w:p>
      <w:pPr>
        <w:pStyle w:val="Style18"/>
        <w:snapToGrid w:val="false"/>
        <w:spacing w:lineRule="auto" w:line="360" w:before="100" w:after="100"/>
        <w:ind w:firstLineChars="200" w:startChars="0" w:start="0" w:endChars="0" w:end="0"/>
        <w:contextualSpacing/>
        <w:rPr>
          <w:sz w:val="21"/>
          <w:szCs w:val="21"/>
        </w:rPr>
      </w:pPr>
      <w:r>
        <w:rPr>
          <w:sz w:val="21"/>
          <w:szCs w:val="21"/>
        </w:rPr>
        <w:t xml:space="preserve">2. </w:t>
      </w:r>
      <w:r>
        <w:rPr>
          <w:sz w:val="21"/>
          <w:szCs w:val="21"/>
        </w:rPr>
        <w:t>本科毕业证和学士学位证原件扫描件；</w:t>
      </w:r>
    </w:p>
    <w:p>
      <w:pPr>
        <w:pStyle w:val="Style18"/>
        <w:snapToGrid w:val="false"/>
        <w:spacing w:lineRule="auto" w:line="360" w:before="100" w:after="100"/>
        <w:ind w:firstLineChars="200" w:startChars="0" w:start="0" w:endChars="0" w:end="0"/>
        <w:contextualSpacing/>
        <w:rPr>
          <w:sz w:val="21"/>
          <w:szCs w:val="21"/>
        </w:rPr>
      </w:pPr>
      <w:r>
        <w:rPr>
          <w:sz w:val="21"/>
          <w:szCs w:val="21"/>
        </w:rPr>
        <w:t xml:space="preserve">3. </w:t>
      </w:r>
      <w:r>
        <w:rPr>
          <w:sz w:val="21"/>
          <w:szCs w:val="21"/>
        </w:rPr>
        <w:t>身份证原件及正反面扫描件；</w:t>
      </w:r>
    </w:p>
    <w:p>
      <w:pPr>
        <w:pStyle w:val="Style18"/>
        <w:snapToGrid w:val="false"/>
        <w:spacing w:lineRule="auto" w:line="360" w:before="100" w:after="100"/>
        <w:ind w:firstLineChars="200" w:startChars="0" w:start="0" w:endChars="0" w:end="0"/>
        <w:contextualSpacing/>
        <w:rPr>
          <w:b/>
          <w:sz w:val="21"/>
          <w:szCs w:val="21"/>
        </w:rPr>
      </w:pPr>
      <w:r>
        <w:rPr>
          <w:sz w:val="21"/>
          <w:szCs w:val="21"/>
        </w:rPr>
        <w:t>4.</w:t>
      </w:r>
      <w:r>
        <w:rPr>
          <w:sz w:val="21"/>
          <w:szCs w:val="21"/>
        </w:rPr>
        <w:t>近期正面蓝底两寸数码彩照。</w:t>
      </w:r>
    </w:p>
    <w:p>
      <w:pPr>
        <w:pStyle w:val="Style18"/>
        <w:snapToGrid w:val="false"/>
        <w:spacing w:lineRule="auto" w:line="360" w:before="100" w:after="100"/>
        <w:contextualSpacing/>
        <w:rPr>
          <w:rFonts w:hint="eastAsia"/>
          <w:b/>
          <w:sz w:val="21"/>
          <w:szCs w:val="21"/>
        </w:rPr>
      </w:pPr>
      <w:r>
        <w:rPr>
          <w:rFonts w:hint="eastAsia"/>
          <w:b/>
          <w:sz w:val="21"/>
          <w:szCs w:val="21"/>
        </w:rPr>
      </w:r>
    </w:p>
    <w:p>
      <w:pPr>
        <w:pStyle w:val="Style18"/>
        <w:snapToGrid w:val="false"/>
        <w:spacing w:lineRule="auto" w:line="360" w:before="100" w:after="100"/>
        <w:contextualSpacing/>
        <w:rPr>
          <w:b/>
          <w:color w:val="0070C0"/>
          <w:sz w:val="21"/>
          <w:szCs w:val="21"/>
        </w:rPr>
      </w:pPr>
      <w:r>
        <w:rPr>
          <w:rFonts w:hint="eastAsia"/>
          <w:b/>
          <w:color w:val="0070C0"/>
          <w:sz w:val="21"/>
          <w:szCs w:val="21"/>
        </w:rPr>
        <w:t>七</w:t>
      </w:r>
      <w:r>
        <w:rPr>
          <w:b/>
          <w:color w:val="0070C0"/>
          <w:sz w:val="21"/>
          <w:szCs w:val="21"/>
        </w:rPr>
        <w:t>、培养方式</w:t>
      </w:r>
    </w:p>
    <w:p>
      <w:pPr>
        <w:pStyle w:val="Style18"/>
        <w:snapToGrid w:val="false"/>
        <w:spacing w:lineRule="auto" w:line="360" w:before="100" w:after="100"/>
        <w:contextualSpacing/>
        <w:rPr>
          <w:sz w:val="21"/>
          <w:szCs w:val="21"/>
        </w:rPr>
      </w:pPr>
      <w:r>
        <w:rPr>
          <w:sz w:val="21"/>
          <w:szCs w:val="21"/>
        </w:rPr>
        <w:t>　　</w:t>
      </w:r>
      <w:r>
        <w:rPr>
          <w:rFonts w:hint="eastAsia"/>
          <w:sz w:val="21"/>
          <w:szCs w:val="21"/>
        </w:rPr>
        <w:t>1.</w:t>
      </w:r>
      <w:r>
        <w:rPr>
          <w:sz w:val="21"/>
          <w:szCs w:val="21"/>
        </w:rPr>
        <w:t>学制：</w:t>
      </w:r>
      <w:r>
        <w:rPr>
          <w:rFonts w:hint="eastAsia"/>
          <w:sz w:val="21"/>
          <w:szCs w:val="21"/>
        </w:rPr>
        <w:t>1-1.5</w:t>
      </w:r>
      <w:r>
        <w:rPr>
          <w:rFonts w:hint="eastAsia"/>
          <w:sz w:val="21"/>
          <w:szCs w:val="21"/>
        </w:rPr>
        <w:t>年</w:t>
      </w:r>
      <w:r>
        <w:rPr>
          <w:sz w:val="21"/>
          <w:szCs w:val="21"/>
        </w:rPr>
        <w:t>；</w:t>
      </w:r>
    </w:p>
    <w:p>
      <w:pPr>
        <w:pStyle w:val="Style18"/>
        <w:snapToGrid w:val="false"/>
        <w:spacing w:lineRule="auto" w:line="360" w:before="100" w:after="100"/>
        <w:ind w:firstLineChars="200" w:startChars="0" w:start="0" w:endChars="0" w:end="0"/>
        <w:contextualSpacing/>
        <w:rPr>
          <w:sz w:val="21"/>
          <w:szCs w:val="21"/>
        </w:rPr>
      </w:pPr>
      <w:r>
        <w:rPr>
          <w:sz w:val="21"/>
          <w:szCs w:val="21"/>
        </w:rPr>
        <w:t>2</w:t>
      </w:r>
      <w:r>
        <w:rPr>
          <w:rFonts w:hint="eastAsia"/>
          <w:sz w:val="21"/>
          <w:szCs w:val="21"/>
        </w:rPr>
        <w:t>.</w:t>
      </w:r>
      <w:r>
        <w:rPr>
          <w:rFonts w:hint="eastAsia"/>
          <w:sz w:val="21"/>
          <w:szCs w:val="21"/>
        </w:rPr>
        <w:t>面</w:t>
      </w:r>
      <w:r>
        <w:rPr>
          <w:sz w:val="21"/>
          <w:szCs w:val="21"/>
        </w:rPr>
        <w:t>授课：双休日授课，由武汉工程大学硕士生导师和博士生导师面授</w:t>
      </w:r>
      <w:r>
        <w:rPr>
          <w:rFonts w:hint="eastAsia"/>
          <w:sz w:val="21"/>
          <w:szCs w:val="21"/>
        </w:rPr>
        <w:t>；</w:t>
      </w:r>
    </w:p>
    <w:p>
      <w:pPr>
        <w:pStyle w:val="Style18"/>
        <w:snapToGrid w:val="false"/>
        <w:spacing w:lineRule="auto" w:line="360" w:before="100" w:after="100"/>
        <w:ind w:firstLineChars="200" w:startChars="0" w:start="0" w:endChars="0" w:end="0"/>
        <w:contextualSpacing/>
        <w:rPr>
          <w:rFonts w:hint="eastAsia"/>
          <w:sz w:val="21"/>
          <w:szCs w:val="21"/>
        </w:rPr>
      </w:pPr>
      <w:r>
        <w:rPr>
          <w:sz w:val="21"/>
          <w:szCs w:val="21"/>
        </w:rPr>
        <w:t>3</w:t>
      </w:r>
      <w:r>
        <w:rPr>
          <w:rFonts w:hint="eastAsia"/>
          <w:sz w:val="21"/>
          <w:szCs w:val="21"/>
        </w:rPr>
        <w:t>.</w:t>
      </w:r>
      <w:r>
        <w:rPr>
          <w:rFonts w:hint="eastAsia"/>
          <w:sz w:val="21"/>
          <w:szCs w:val="21"/>
        </w:rPr>
        <w:t>网络课：异地学员</w:t>
      </w:r>
      <w:r>
        <w:rPr>
          <w:sz w:val="21"/>
          <w:szCs w:val="21"/>
        </w:rPr>
        <w:t>可进行网络课程学习，</w:t>
      </w:r>
      <w:r>
        <w:rPr>
          <w:rFonts w:hint="eastAsia"/>
          <w:sz w:val="21"/>
          <w:szCs w:val="21"/>
        </w:rPr>
        <w:t>不受</w:t>
      </w:r>
      <w:r>
        <w:rPr>
          <w:sz w:val="21"/>
          <w:szCs w:val="21"/>
        </w:rPr>
        <w:t>时间</w:t>
      </w:r>
      <w:r>
        <w:rPr>
          <w:rFonts w:hint="eastAsia"/>
          <w:sz w:val="21"/>
          <w:szCs w:val="21"/>
        </w:rPr>
        <w:t>、</w:t>
      </w:r>
      <w:r>
        <w:rPr>
          <w:sz w:val="21"/>
          <w:szCs w:val="21"/>
        </w:rPr>
        <w:t>地址限制。</w:t>
      </w:r>
    </w:p>
    <w:p>
      <w:pPr>
        <w:pStyle w:val="Style18"/>
        <w:snapToGrid w:val="false"/>
        <w:spacing w:lineRule="auto" w:line="360" w:before="100" w:after="100"/>
        <w:ind w:firstLineChars="200" w:startChars="0" w:start="0" w:endChars="0" w:end="0"/>
        <w:contextualSpacing/>
        <w:rPr>
          <w:sz w:val="21"/>
          <w:szCs w:val="21"/>
        </w:rPr>
      </w:pPr>
      <w:r>
        <w:rPr>
          <w:rFonts w:hint="eastAsia"/>
          <w:sz w:val="21"/>
          <w:szCs w:val="21"/>
        </w:rPr>
      </w:r>
    </w:p>
    <w:p>
      <w:pPr>
        <w:pStyle w:val="Style18"/>
        <w:numPr>
          <w:ilvl w:val="0"/>
          <w:numId w:val="4"/>
        </w:numPr>
        <w:snapToGrid w:val="false"/>
        <w:spacing w:lineRule="auto" w:line="360" w:before="100" w:after="280"/>
        <w:rPr>
          <w:rFonts w:hint="eastAsia"/>
          <w:b/>
          <w:color w:val="0070C0"/>
          <w:sz w:val="21"/>
          <w:szCs w:val="21"/>
        </w:rPr>
      </w:pPr>
      <w:r>
        <w:rPr>
          <w:rFonts w:hint="eastAsia"/>
          <w:b/>
          <w:color w:val="0070C0"/>
          <w:sz w:val="21"/>
          <w:szCs w:val="21"/>
        </w:rPr>
        <w:t>收费标准</w:t>
      </w:r>
    </w:p>
    <w:p>
      <w:pPr>
        <w:pStyle w:val="Style18"/>
        <w:snapToGrid w:val="false"/>
        <w:spacing w:lineRule="auto" w:line="360" w:before="100" w:after="100"/>
        <w:ind w:firstLineChars="200" w:startChars="0" w:start="0" w:endChars="0" w:end="0"/>
        <w:contextualSpacing/>
        <w:rPr>
          <w:rFonts w:hint="eastAsia"/>
          <w:color w:val="000000"/>
          <w:sz w:val="21"/>
          <w:szCs w:val="21"/>
        </w:rPr>
      </w:pPr>
      <w:r>
        <w:rPr>
          <w:rFonts w:hint="eastAsia"/>
          <w:color w:val="000000"/>
          <w:sz w:val="21"/>
          <w:szCs w:val="21"/>
        </w:rPr>
        <w:t>学费</w:t>
      </w:r>
      <w:r>
        <w:rPr>
          <w:rFonts w:hint="eastAsia"/>
          <w:color w:val="000000"/>
          <w:sz w:val="21"/>
          <w:szCs w:val="21"/>
        </w:rPr>
        <w:t>20000</w:t>
      </w:r>
      <w:r>
        <w:rPr>
          <w:rFonts w:hint="eastAsia"/>
          <w:color w:val="000000"/>
          <w:sz w:val="21"/>
          <w:szCs w:val="21"/>
        </w:rPr>
        <w:t>，论文答辩费</w:t>
      </w:r>
      <w:r>
        <w:rPr>
          <w:rFonts w:hint="eastAsia"/>
          <w:color w:val="000000"/>
          <w:sz w:val="21"/>
          <w:szCs w:val="21"/>
        </w:rPr>
        <w:t>12000</w:t>
      </w:r>
    </w:p>
    <w:p>
      <w:pPr>
        <w:pStyle w:val="Style18"/>
        <w:snapToGrid w:val="false"/>
        <w:spacing w:lineRule="auto" w:line="360" w:before="100" w:after="100"/>
        <w:ind w:firstLineChars="200" w:startChars="0" w:start="0" w:endChars="0" w:end="0"/>
        <w:contextualSpacing/>
        <w:rPr>
          <w:b/>
          <w:color w:val="000000"/>
          <w:sz w:val="21"/>
          <w:szCs w:val="21"/>
        </w:rPr>
      </w:pPr>
      <w:r>
        <w:rPr>
          <w:rFonts w:hint="eastAsia"/>
          <w:b/>
          <w:color w:val="000000"/>
          <w:sz w:val="21"/>
          <w:szCs w:val="21"/>
        </w:rPr>
      </w:r>
    </w:p>
    <w:p>
      <w:pPr>
        <w:pStyle w:val="Style18"/>
        <w:snapToGrid w:val="false"/>
        <w:spacing w:lineRule="auto" w:line="360" w:before="100" w:after="100"/>
        <w:contextualSpacing/>
        <w:rPr>
          <w:b/>
          <w:color w:val="0070C0"/>
          <w:sz w:val="21"/>
          <w:szCs w:val="21"/>
        </w:rPr>
      </w:pPr>
      <w:r>
        <w:rPr>
          <w:rFonts w:hint="eastAsia"/>
          <w:b/>
          <w:color w:val="0070C0"/>
          <w:sz w:val="21"/>
          <w:szCs w:val="21"/>
        </w:rPr>
        <w:t>九</w:t>
      </w:r>
      <w:r>
        <w:rPr>
          <w:b/>
          <w:color w:val="0070C0"/>
          <w:sz w:val="21"/>
          <w:szCs w:val="21"/>
        </w:rPr>
        <w:t>、</w:t>
      </w:r>
      <w:r>
        <w:rPr>
          <w:rFonts w:hint="eastAsia"/>
          <w:b/>
          <w:color w:val="0070C0"/>
          <w:sz w:val="21"/>
          <w:szCs w:val="21"/>
        </w:rPr>
        <w:t>获取证书</w:t>
      </w:r>
    </w:p>
    <w:p>
      <w:pPr>
        <w:pStyle w:val="Style18"/>
        <w:snapToGrid w:val="false"/>
        <w:spacing w:lineRule="auto" w:line="360" w:before="100" w:after="100"/>
        <w:ind w:firstLineChars="200" w:startChars="0" w:start="0" w:endChars="0" w:end="0"/>
        <w:contextualSpacing/>
        <w:rPr>
          <w:sz w:val="21"/>
          <w:szCs w:val="21"/>
        </w:rPr>
      </w:pPr>
      <w:r>
        <w:rPr>
          <w:sz w:val="21"/>
          <w:szCs w:val="21"/>
        </w:rPr>
        <w:t>1.</w:t>
      </w:r>
      <w:r>
        <w:rPr>
          <w:sz w:val="21"/>
          <w:szCs w:val="21"/>
        </w:rPr>
        <w:t>通过学校组织的学位课程考试，成绩合格者，可通过所在学院向研究生院申请领取《武汉工程大学同等学力人员申请硕士学位成绩合格证》</w:t>
      </w:r>
      <w:r>
        <w:rPr>
          <w:rFonts w:hint="eastAsia"/>
          <w:sz w:val="21"/>
          <w:szCs w:val="21"/>
        </w:rPr>
        <w:t>；</w:t>
      </w:r>
    </w:p>
    <w:p>
      <w:pPr>
        <w:pStyle w:val="Style18"/>
        <w:snapToGrid w:val="false"/>
        <w:spacing w:lineRule="auto" w:line="360" w:before="100" w:after="100"/>
        <w:ind w:firstLine="420" w:end="0"/>
        <w:contextualSpacing/>
        <w:rPr>
          <w:sz w:val="21"/>
          <w:szCs w:val="21"/>
        </w:rPr>
      </w:pPr>
      <w:r>
        <w:rPr>
          <w:sz w:val="21"/>
          <w:szCs w:val="21"/>
        </w:rPr>
        <w:t>2.</w:t>
      </w:r>
      <w:r>
        <w:rPr>
          <w:rFonts w:hint="eastAsia"/>
          <w:sz w:val="21"/>
          <w:szCs w:val="21"/>
        </w:rPr>
        <w:t>学员满足条件</w:t>
      </w:r>
      <w:r>
        <w:rPr>
          <w:sz w:val="21"/>
          <w:szCs w:val="21"/>
        </w:rPr>
        <w:t>参加</w:t>
      </w:r>
      <w:r>
        <w:rPr>
          <w:rFonts w:hint="eastAsia"/>
          <w:sz w:val="21"/>
          <w:szCs w:val="21"/>
        </w:rPr>
        <w:t>申硕</w:t>
      </w:r>
      <w:r>
        <w:rPr>
          <w:sz w:val="21"/>
          <w:szCs w:val="21"/>
        </w:rPr>
        <w:t>考试成绩合格并通过硕士学位论文答辩，并经武汉工程大学学位评定委员会审议，授予武汉工程大学管理学硕士学位证书。</w:t>
      </w:r>
    </w:p>
    <w:p>
      <w:pPr>
        <w:pStyle w:val="Normal"/>
        <w:widowControl/>
        <w:numPr>
          <w:ilvl w:val="0"/>
          <w:numId w:val="0"/>
        </w:numPr>
        <w:spacing w:lineRule="auto" w:line="360" w:before="100" w:after="100"/>
        <w:contextualSpacing/>
        <w:jc w:val="start"/>
        <w:outlineLvl w:val="2"/>
        <w:rPr>
          <w:rFonts w:ascii="宋体" w:hAnsi="宋体" w:cs="宋体"/>
          <w:szCs w:val="21"/>
        </w:rPr>
      </w:pPr>
      <w:r>
        <w:rPr>
          <w:rFonts w:cs="宋体" w:ascii="宋体" w:hAnsi="宋体"/>
          <w:sz w:val="21"/>
          <w:szCs w:val="21"/>
        </w:rPr>
      </w:r>
    </w:p>
    <w:sectPr>
      <w:headerReference w:type="default" r:id="rId9"/>
      <w:type w:val="nextPage"/>
      <w:pgSz w:w="11906" w:h="16838"/>
      <w:pgMar w:left="1800" w:right="1800" w:gutter="0" w:header="851" w:top="1440" w:footer="0" w:bottom="144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86"/>
    <w:family w:val="roman"/>
    <w:pitch w:val="variable"/>
  </w:font>
  <w:font w:name="Times New Roman">
    <w:charset w:val="00" w:characterSet="windows-1252"/>
    <w:family w:val="roman"/>
    <w:pitch w:val="default"/>
  </w:font>
  <w:font w:name="宋体">
    <w:charset w:val="86"/>
    <w:family w:val="auto"/>
    <w:pitch w:val="default"/>
  </w:font>
  <w:font w:name="Liberation Sans">
    <w:altName w:val="Arial"/>
    <w:charset w:val="86"/>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lang w:val="zh-CN" w:eastAsia="zh-CN"/>
      </w:rPr>
      <w:drawing>
        <wp:anchor distT="0" distB="0" distL="114935" distR="114935" simplePos="0" relativeHeight="6" behindDoc="1" locked="0" layoutInCell="0" allowOverlap="1">
          <wp:simplePos x="0" y="0"/>
          <wp:positionH relativeFrom="margin">
            <wp:align>center</wp:align>
          </wp:positionH>
          <wp:positionV relativeFrom="margin">
            <wp:align>center</wp:align>
          </wp:positionV>
          <wp:extent cx="4110990" cy="4104005"/>
          <wp:effectExtent l="0" t="0" r="0" b="0"/>
          <wp:wrapNone/>
          <wp:docPr id="2" name="WordPictureWatermark448256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448256048"/>
                  <pic:cNvPicPr>
                    <a:picLocks noChangeAspect="1" noChangeArrowheads="1"/>
                  </pic:cNvPicPr>
                </pic:nvPicPr>
                <pic:blipFill>
                  <a:blip r:embed="rId1">
                    <a:lum bright="70000" contrast="-70000"/>
                  </a:blip>
                  <a:srcRect l="-6" t="-6" r="-6" b="-6"/>
                  <a:stretch>
                    <a:fillRect/>
                  </a:stretch>
                </pic:blipFill>
                <pic:spPr bwMode="auto">
                  <a:xfrm>
                    <a:off x="0" y="0"/>
                    <a:ext cx="4110990" cy="4104005"/>
                  </a:xfrm>
                  <a:prstGeom prst="rect">
                    <a:avLst/>
                  </a:prstGeom>
                  <a:noFill/>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pStyle w:val="Heading3"/>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4"/>
      <w:numFmt w:val="chineseCountingThousand"/>
      <w:suff w:val="nothing"/>
      <w:lvlText w:val="%1、"/>
      <w:lvlJc w:val="start"/>
      <w:pPr>
        <w:tabs>
          <w:tab w:val="num" w:pos="0"/>
        </w:tabs>
        <w:ind w:start="0" w:hanging="0"/>
      </w:pPr>
      <w:rPr>
        <w:rFonts w:hint="eastAsia"/>
      </w:rPr>
    </w:lvl>
  </w:abstractNum>
  <w:abstractNum w:abstractNumId="3">
    <w:lvl w:ilvl="0">
      <w:start w:val="8"/>
      <w:numFmt w:val="chineseCountingThousand"/>
      <w:lvlText w:val="%1、"/>
      <w:lvlJc w:val="start"/>
      <w:pPr>
        <w:tabs>
          <w:tab w:val="num" w:pos="0"/>
        </w:tabs>
        <w:ind w:start="450" w:hanging="450"/>
      </w:pPr>
      <w:rPr/>
    </w:lvl>
    <w:lvl w:ilvl="1">
      <w:start w:val="1"/>
      <w:numFmt w:val="lowerLetter"/>
      <w:lvlText w:val="%2)"/>
      <w:lvlJc w:val="start"/>
      <w:pPr>
        <w:tabs>
          <w:tab w:val="num" w:pos="0"/>
        </w:tabs>
        <w:ind w:start="840" w:hanging="420"/>
      </w:pPr>
    </w:lvl>
    <w:lvl w:ilvl="2">
      <w:start w:val="1"/>
      <w:numFmt w:val="lowerRoman"/>
      <w:lvlText w:val="%3."/>
      <w:lvlJc w:val="end"/>
      <w:pPr>
        <w:tabs>
          <w:tab w:val="num" w:pos="0"/>
        </w:tabs>
        <w:ind w:start="1260" w:hanging="420"/>
      </w:pPr>
    </w:lvl>
    <w:lvl w:ilvl="3">
      <w:start w:val="1"/>
      <w:numFmt w:val="decimal"/>
      <w:lvlText w:val="%4."/>
      <w:lvlJc w:val="start"/>
      <w:pPr>
        <w:tabs>
          <w:tab w:val="num" w:pos="0"/>
        </w:tabs>
        <w:ind w:start="1680" w:hanging="420"/>
      </w:pPr>
    </w:lvl>
    <w:lvl w:ilvl="4">
      <w:start w:val="1"/>
      <w:numFmt w:val="lowerLetter"/>
      <w:lvlText w:val="%5)"/>
      <w:lvlJc w:val="start"/>
      <w:pPr>
        <w:tabs>
          <w:tab w:val="num" w:pos="0"/>
        </w:tabs>
        <w:ind w:start="2100" w:hanging="420"/>
      </w:pPr>
    </w:lvl>
    <w:lvl w:ilvl="5">
      <w:start w:val="1"/>
      <w:numFmt w:val="lowerRoman"/>
      <w:lvlText w:val="%6."/>
      <w:lvlJc w:val="end"/>
      <w:pPr>
        <w:tabs>
          <w:tab w:val="num" w:pos="0"/>
        </w:tabs>
        <w:ind w:start="2520" w:hanging="420"/>
      </w:pPr>
    </w:lvl>
    <w:lvl w:ilvl="6">
      <w:start w:val="1"/>
      <w:numFmt w:val="decimal"/>
      <w:lvlText w:val="%7."/>
      <w:lvlJc w:val="start"/>
      <w:pPr>
        <w:tabs>
          <w:tab w:val="num" w:pos="0"/>
        </w:tabs>
        <w:ind w:start="2940" w:hanging="420"/>
      </w:pPr>
    </w:lvl>
    <w:lvl w:ilvl="7">
      <w:start w:val="1"/>
      <w:numFmt w:val="lowerLetter"/>
      <w:lvlText w:val="%8)"/>
      <w:lvlJc w:val="start"/>
      <w:pPr>
        <w:tabs>
          <w:tab w:val="num" w:pos="0"/>
        </w:tabs>
        <w:ind w:start="3360" w:hanging="420"/>
      </w:pPr>
    </w:lvl>
    <w:lvl w:ilvl="8">
      <w:start w:val="1"/>
      <w:numFmt w:val="lowerRoman"/>
      <w:lvlText w:val="%9."/>
      <w:lvlJc w:val="end"/>
      <w:pPr>
        <w:tabs>
          <w:tab w:val="num" w:pos="0"/>
        </w:tabs>
        <w:ind w:start="3780" w:hanging="420"/>
      </w:pPr>
    </w:lvl>
  </w:abstractNum>
  <w:num w:numId="1">
    <w:abstractNumId w:val="1"/>
  </w:num>
  <w:num w:numId="2">
    <w:abstractNumId w:val="2"/>
  </w:num>
  <w:num w:numId="3">
    <w:abstractNumId w:val="3"/>
  </w:num>
  <w:num w:numId="4">
    <w:abstractNumId w:val="3"/>
    <w:lvlOverride w:ilvl="0">
      <w:startOverride w:val="8"/>
    </w:lvlOverride>
  </w:num>
</w:numbering>
</file>

<file path=word/settings.xml><?xml version="1.0" encoding="utf-8"?>
<w:settings xmlns:w="http://schemas.openxmlformats.org/wordprocessingml/2006/main">
  <w:zoom w:percent="100"/>
  <w:defaultTabStop w:val="420"/>
  <w:autoHyphenation w:val="true"/>
  <w:hyphenationZone w:val="0"/>
  <w:compat>
    <w:doNotExpandShiftReturn/>
    <w:adjustLineHeightInTable/>
    <w:compatSetting w:name="compatibilityMode" w:uri="http://schemas.microsoft.com/office/word" w:val="11"/>
  </w:compat>
  <w:docVars>
    <w:docVar w:name="commondata" w:val="eyJoZGlkIjoiNGQ5ODQ5N2Q1NmI0ZDAwYTJiMTcyMmU3ZjhhMWE4NmEifQ=="/>
  </w:docVars>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新宋体" w:cs="Lucida Sans"/>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 w:cs="Times New Roman"/>
      <w:color w:val="auto"/>
      <w:kern w:val="2"/>
      <w:sz w:val="21"/>
      <w:szCs w:val="22"/>
      <w:lang w:bidi="ar-SA" w:val="en-US" w:eastAsia="zh-CN"/>
    </w:rPr>
  </w:style>
  <w:style w:type="paragraph" w:styleId="Heading3">
    <w:name w:val="heading 3"/>
    <w:basedOn w:val="Normal"/>
    <w:next w:val="BodyText"/>
    <w:qFormat/>
    <w:pPr>
      <w:widowControl/>
      <w:numPr>
        <w:ilvl w:val="2"/>
        <w:numId w:val="1"/>
      </w:numPr>
      <w:spacing w:before="100" w:after="100"/>
      <w:jc w:val="start"/>
      <w:outlineLvl w:val="2"/>
    </w:pPr>
    <w:rPr>
      <w:rFonts w:ascii="宋体" w:hAnsi="宋体" w:eastAsia="宋体" w:cs="宋体"/>
      <w:b/>
      <w:bCs/>
      <w:kern w:val="0"/>
      <w:sz w:val="27"/>
      <w:szCs w:val="27"/>
    </w:rPr>
  </w:style>
  <w:style w:type="character" w:styleId="WW8Num1z0">
    <w:name w:val="WW8Num1z0"/>
    <w:qFormat/>
    <w:rPr>
      <w:rFonts w:hint="eastAsia"/>
    </w:rPr>
  </w:style>
  <w:style w:type="character" w:styleId="WW8Num2z0">
    <w:name w:val="WW8Num2z0"/>
    <w:qFormat/>
    <w:rPr/>
  </w:style>
  <w:style w:type="character" w:styleId="Style13">
    <w:name w:val="默认段落字体"/>
    <w:qFormat/>
    <w:rPr/>
  </w:style>
  <w:style w:type="character" w:styleId="3Char">
    <w:name w:val="标题 3 Char"/>
    <w:basedOn w:val="Style13"/>
    <w:qFormat/>
    <w:rPr>
      <w:rFonts w:ascii="宋体" w:hAnsi="宋体" w:eastAsia="宋体" w:cs="宋体"/>
      <w:b/>
      <w:bCs/>
      <w:kern w:val="0"/>
      <w:sz w:val="27"/>
      <w:szCs w:val="27"/>
    </w:rPr>
  </w:style>
  <w:style w:type="character" w:styleId="Char">
    <w:name w:val="批注框文本 Char"/>
    <w:basedOn w:val="Style13"/>
    <w:qFormat/>
    <w:rPr>
      <w:sz w:val="18"/>
      <w:szCs w:val="18"/>
    </w:rPr>
  </w:style>
  <w:style w:type="character" w:styleId="Char1">
    <w:name w:val="页脚 Char"/>
    <w:basedOn w:val="Style13"/>
    <w:qFormat/>
    <w:rPr>
      <w:sz w:val="18"/>
      <w:szCs w:val="18"/>
    </w:rPr>
  </w:style>
  <w:style w:type="character" w:styleId="Char2">
    <w:name w:val="页眉 Char"/>
    <w:basedOn w:val="Style13"/>
    <w:qFormat/>
    <w:rPr>
      <w:sz w:val="18"/>
      <w:szCs w:val="18"/>
    </w:rPr>
  </w:style>
  <w:style w:type="character" w:styleId="Hyperlink">
    <w:name w:val="Hyperlink"/>
    <w:basedOn w:val="Style13"/>
    <w:rPr>
      <w:color w:val="0000FF"/>
      <w:u w:val="single"/>
    </w:rPr>
  </w:style>
  <w:style w:type="paragraph" w:styleId="Style14">
    <w:name w:val="标题样式"/>
    <w:basedOn w:val="Normal"/>
    <w:next w:val="BodyText"/>
    <w:qFormat/>
    <w:pPr>
      <w:keepNext w:val="true"/>
      <w:spacing w:before="240" w:after="120"/>
    </w:pPr>
    <w:rPr>
      <w:rFonts w:ascii="Liberation Sans" w:hAnsi="Liberation Sans" w:eastAsia="Noto Sans SC"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Style15">
    <w:name w:val="索引"/>
    <w:basedOn w:val="Normal"/>
    <w:qFormat/>
    <w:pPr>
      <w:suppressLineNumbers/>
    </w:pPr>
    <w:rPr>
      <w:rFonts w:cs="Lucida Sans"/>
    </w:rPr>
  </w:style>
  <w:style w:type="paragraph" w:styleId="Style16">
    <w:name w:val="批注框文本"/>
    <w:basedOn w:val="Normal"/>
    <w:qFormat/>
    <w:pPr/>
    <w:rPr>
      <w:sz w:val="18"/>
      <w:szCs w:val="18"/>
    </w:rPr>
  </w:style>
  <w:style w:type="paragraph" w:styleId="Style17">
    <w:name w:val="页眉与页脚"/>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Style18">
    <w:name w:val="普通(网站)"/>
    <w:basedOn w:val="Normal"/>
    <w:qFormat/>
    <w:pPr>
      <w:widowControl/>
      <w:spacing w:before="100" w:after="100"/>
      <w:jc w:val="start"/>
    </w:pPr>
    <w:rPr>
      <w:rFonts w:ascii="宋体" w:hAnsi="宋体" w:eastAsia="宋体" w:cs="宋体"/>
      <w:kern w:val="0"/>
      <w:sz w:val="24"/>
      <w:szCs w:val="24"/>
    </w:rPr>
  </w:style>
  <w:style w:type="paragraph" w:styleId="Style19">
    <w:name w:val="列出段落"/>
    <w:basedOn w:val="Normal"/>
    <w:qFormat/>
    <w:pPr>
      <w:ind w:firstLineChars="200" w:startChars="0" w:start="0" w:endChars="0" w:end="0"/>
    </w:pPr>
    <w:rPr/>
  </w:style>
  <w:style w:type="paragraph" w:styleId="Style20">
    <w:name w:val="表格内容"/>
    <w:basedOn w:val="Normal"/>
    <w:qFormat/>
    <w:pPr>
      <w:widowControl w:val="false"/>
      <w:suppressLineNumbers/>
    </w:pPr>
    <w:rPr/>
  </w:style>
  <w:style w:type="paragraph" w:styleId="Style21">
    <w:name w:val="表格标题"/>
    <w:basedOn w:val="Style20"/>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baike.baidu.com/item/&#24037;&#21830;&#31649;&#29702;/239" TargetMode="External"/><Relationship Id="rId4" Type="http://schemas.openxmlformats.org/officeDocument/2006/relationships/hyperlink" Target="https://baike.baidu.com/item/&#31649;&#29702;&#23398;&#31185;/8115255" TargetMode="External"/><Relationship Id="rId5" Type="http://schemas.openxmlformats.org/officeDocument/2006/relationships/hyperlink" Target="https://baike.baidu.com/item/&#19987;&#19994;&#23398;&#20301;/6280825" TargetMode="External"/><Relationship Id="rId6" Type="http://schemas.openxmlformats.org/officeDocument/2006/relationships/hyperlink" Target="https://baike.baidu.com/item/&#20225;&#19994;&#21457;&#23637;&#25112;&#30053;/6255084" TargetMode="External"/><Relationship Id="rId7" Type="http://schemas.openxmlformats.org/officeDocument/2006/relationships/hyperlink" Target="https://baike.baidu.com/item/&#20225;&#19994;&#32463;&#27982;&#25928;&#30410;/9793700" TargetMode="External"/><Relationship Id="rId8" Type="http://schemas.openxmlformats.org/officeDocument/2006/relationships/hyperlink" Target="https://baike.baidu.com/item/&#29616;&#20195;&#20225;&#19994;&#21046;&#24230;/2260" TargetMode="External"/><Relationship Id="rId9" Type="http://schemas.openxmlformats.org/officeDocument/2006/relationships/header" Target="header1.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8640</TotalTime>
  <Application>LibreOffice/26.2.5.2$Windows_X86_64 LibreOffice_project/cd7284b4cbbfeb507e630c1aac019f4157393acb</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2021-04-14T13:36:00Z</dcterms:created>
  <dc:creator>Administrator</dc:creator>
  <dc:description/>
  <dc:language>zh-CN</dc:language>
  <cp:lastModifiedBy>Administrator</cp:lastModifiedBy>
  <dcterms:modified xsi:type="dcterms:W3CDTF">2026-01-15T11:31:36Z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F374586F45A94726805DB9DC3F82FB66</vt:lpwstr>
  </property>
  <property fmtid="{D5CDD505-2E9C-101B-9397-08002B2CF9AE}" pid="3" name="KSOProductBuildVer">
    <vt:lpwstr>2052-12.1.0.19302</vt:lpwstr>
  </property>
  <property fmtid="{D5CDD505-2E9C-101B-9397-08002B2CF9AE}" pid="4" name="KSOTemplateDocerSaveRecord">
    <vt:lpwstr>eyJoZGlkIjoiMjJkYmYyOGQwNjU2YTFjYjBlYWQzZDdlZjc2Nzk1ZWYifQ==</vt:lpwstr>
  </property>
</Properties>
</file>