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4872C">
      <w:pPr>
        <w:spacing w:line="360" w:lineRule="auto"/>
        <w:contextualSpacing/>
        <w:rPr>
          <w:rFonts w:ascii="宋体" w:hAnsi="宋体"/>
          <w:sz w:val="24"/>
          <w:szCs w:val="24"/>
        </w:rPr>
      </w:pPr>
      <w:r>
        <w:rPr>
          <w:rFonts w:ascii="宋体" w:hAnsi="宋体"/>
          <w:sz w:val="24"/>
          <w:szCs w:val="24"/>
        </w:rPr>
        <w:drawing>
          <wp:inline distT="0" distB="0" distL="114300" distR="114300">
            <wp:extent cx="5277485" cy="1189990"/>
            <wp:effectExtent l="0" t="0" r="18415" b="10160"/>
            <wp:docPr id="4" name="图片 1"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12.png"/>
                    <pic:cNvPicPr>
                      <a:picLocks noChangeAspect="1"/>
                    </pic:cNvPicPr>
                  </pic:nvPicPr>
                  <pic:blipFill>
                    <a:blip r:embed="rId7" cstate="print"/>
                    <a:stretch>
                      <a:fillRect/>
                    </a:stretch>
                  </pic:blipFill>
                  <pic:spPr>
                    <a:xfrm>
                      <a:off x="0" y="0"/>
                      <a:ext cx="5277485" cy="1189990"/>
                    </a:xfrm>
                    <a:prstGeom prst="rect">
                      <a:avLst/>
                    </a:prstGeom>
                    <a:noFill/>
                    <a:ln>
                      <a:noFill/>
                    </a:ln>
                  </pic:spPr>
                </pic:pic>
              </a:graphicData>
            </a:graphic>
          </wp:inline>
        </w:drawing>
      </w:r>
    </w:p>
    <w:p w14:paraId="3A8B5F42">
      <w:pPr>
        <w:spacing w:line="360" w:lineRule="auto"/>
        <w:contextualSpacing/>
        <w:rPr>
          <w:rFonts w:ascii="宋体" w:hAnsi="宋体"/>
          <w:b/>
          <w:sz w:val="32"/>
          <w:szCs w:val="32"/>
        </w:rPr>
      </w:pPr>
    </w:p>
    <w:p w14:paraId="61FFFA65">
      <w:pPr>
        <w:spacing w:line="360" w:lineRule="auto"/>
        <w:ind w:left="1495" w:leftChars="100" w:hanging="1285" w:hangingChars="400"/>
        <w:contextualSpacing/>
        <w:jc w:val="center"/>
        <w:rPr>
          <w:rFonts w:ascii="宋体" w:hAnsi="宋体"/>
          <w:b/>
          <w:color w:val="000000"/>
          <w:sz w:val="32"/>
          <w:szCs w:val="32"/>
        </w:rPr>
      </w:pPr>
      <w:r>
        <w:rPr>
          <w:rFonts w:hint="eastAsia" w:ascii="宋体" w:hAnsi="宋体"/>
          <w:b/>
          <w:color w:val="000000"/>
          <w:sz w:val="32"/>
          <w:szCs w:val="32"/>
        </w:rPr>
        <w:t>武汉工程大学</w:t>
      </w:r>
      <w:r>
        <w:rPr>
          <w:rFonts w:hint="eastAsia" w:ascii="宋体" w:hAnsi="宋体"/>
          <w:b/>
          <w:color w:val="000000"/>
          <w:sz w:val="32"/>
          <w:szCs w:val="32"/>
          <w:lang w:val="en-US" w:eastAsia="zh-CN"/>
        </w:rPr>
        <w:t>采矿工程</w:t>
      </w:r>
      <w:r>
        <w:rPr>
          <w:rFonts w:hint="eastAsia" w:ascii="宋体" w:hAnsi="宋体"/>
          <w:b/>
          <w:color w:val="000000"/>
          <w:sz w:val="32"/>
          <w:szCs w:val="32"/>
        </w:rPr>
        <w:t xml:space="preserve">专业同等学力人员申请硕士学位 </w:t>
      </w:r>
    </w:p>
    <w:p w14:paraId="52D5383E">
      <w:pPr>
        <w:spacing w:line="360" w:lineRule="auto"/>
        <w:ind w:left="1495" w:leftChars="100" w:hanging="1285" w:hangingChars="400"/>
        <w:contextualSpacing/>
        <w:jc w:val="center"/>
        <w:rPr>
          <w:rFonts w:ascii="宋体" w:hAnsi="宋体"/>
          <w:b/>
          <w:color w:val="000000"/>
          <w:sz w:val="32"/>
          <w:szCs w:val="32"/>
        </w:rPr>
      </w:pPr>
      <w:r>
        <w:rPr>
          <w:rFonts w:hint="eastAsia" w:ascii="宋体" w:hAnsi="宋体"/>
          <w:b/>
          <w:color w:val="000000"/>
          <w:sz w:val="32"/>
          <w:szCs w:val="32"/>
        </w:rPr>
        <w:t xml:space="preserve"> 招生简章</w:t>
      </w:r>
    </w:p>
    <w:p w14:paraId="7F51F7B5">
      <w:pPr>
        <w:spacing w:line="360" w:lineRule="auto"/>
        <w:ind w:firstLine="3600" w:firstLineChars="1500"/>
        <w:contextualSpacing/>
        <w:rPr>
          <w:rFonts w:ascii="宋体" w:hAnsi="宋体"/>
          <w:color w:val="FF0000"/>
          <w:sz w:val="24"/>
          <w:szCs w:val="24"/>
        </w:rPr>
      </w:pPr>
      <w:r>
        <w:rPr>
          <w:rFonts w:ascii="宋体" w:hAnsi="宋体"/>
          <w:color w:val="FF0000"/>
          <w:sz w:val="24"/>
          <w:szCs w:val="24"/>
        </w:rPr>
        <w:t>面向全国招生</w:t>
      </w:r>
      <w:r>
        <w:rPr>
          <w:rFonts w:hint="eastAsia" w:ascii="宋体" w:hAnsi="宋体"/>
          <w:color w:val="FF0000"/>
          <w:sz w:val="24"/>
          <w:szCs w:val="24"/>
        </w:rPr>
        <w:t xml:space="preserve">     </w:t>
      </w:r>
    </w:p>
    <w:p w14:paraId="637B35CC">
      <w:pPr>
        <w:spacing w:line="360" w:lineRule="auto"/>
        <w:contextualSpacing/>
        <w:rPr>
          <w:rFonts w:ascii="宋体" w:hAnsi="宋体"/>
          <w:sz w:val="24"/>
          <w:szCs w:val="24"/>
        </w:rPr>
      </w:pPr>
    </w:p>
    <w:p w14:paraId="48EF6A2E">
      <w:pPr>
        <w:tabs>
          <w:tab w:val="left" w:pos="720"/>
        </w:tabs>
        <w:spacing w:line="360" w:lineRule="auto"/>
        <w:contextualSpacing/>
        <w:rPr>
          <w:rFonts w:ascii="宋体" w:hAnsi="宋体"/>
          <w:spacing w:val="-13"/>
          <w:sz w:val="24"/>
          <w:szCs w:val="24"/>
        </w:rPr>
      </w:pPr>
    </w:p>
    <w:p w14:paraId="27AC2F83">
      <w:pPr>
        <w:tabs>
          <w:tab w:val="left" w:pos="720"/>
        </w:tabs>
        <w:spacing w:line="360" w:lineRule="auto"/>
        <w:ind w:firstLine="420" w:firstLineChars="200"/>
        <w:contextualSpacing/>
        <w:rPr>
          <w:rFonts w:ascii="宋体" w:hAnsi="宋体" w:cs="宋体"/>
          <w:bCs/>
          <w:kern w:val="0"/>
          <w:szCs w:val="21"/>
        </w:rPr>
      </w:pPr>
      <w:r>
        <w:rPr>
          <w:rFonts w:hint="eastAsia" w:ascii="宋体" w:hAnsi="宋体" w:cs="宋体"/>
          <w:bCs/>
          <w:kern w:val="0"/>
          <w:szCs w:val="21"/>
        </w:rPr>
        <w:t>武汉工程大学是一所以工为主，覆盖工、理、管、经、文、法、艺术、医学、教育学等九大学科门类的教学研究型大学。学校是湖北省重点建设高校，是“一所特色鲜明的高校”。2012年学校入选中西部高校基础能力建设工程（小211工程）。2013年学校被国务院学位委员会确定为博士学位授予单位。2014年学校整体进入一本高校行列。</w:t>
      </w:r>
    </w:p>
    <w:p w14:paraId="20F0070E">
      <w:pPr>
        <w:tabs>
          <w:tab w:val="left" w:pos="720"/>
        </w:tabs>
        <w:spacing w:line="360" w:lineRule="auto"/>
        <w:contextualSpacing/>
        <w:rPr>
          <w:rFonts w:ascii="宋体" w:hAnsi="宋体"/>
          <w:spacing w:val="-13"/>
          <w:szCs w:val="21"/>
        </w:rPr>
      </w:pPr>
    </w:p>
    <w:p w14:paraId="60E9F771">
      <w:pPr>
        <w:pStyle w:val="8"/>
        <w:numPr>
          <w:ilvl w:val="0"/>
          <w:numId w:val="0"/>
        </w:numPr>
        <w:tabs>
          <w:tab w:val="left" w:pos="720"/>
        </w:tabs>
        <w:spacing w:line="360" w:lineRule="auto"/>
        <w:ind w:leftChars="0"/>
        <w:contextualSpacing/>
        <w:rPr>
          <w:rFonts w:ascii="宋体" w:hAnsi="宋体"/>
          <w:b/>
          <w:color w:val="0070C0"/>
          <w:spacing w:val="-13"/>
          <w:szCs w:val="21"/>
        </w:rPr>
      </w:pPr>
      <w:r>
        <w:rPr>
          <w:rFonts w:hint="eastAsia" w:ascii="宋体" w:hAnsi="宋体"/>
          <w:b/>
          <w:color w:val="0070C0"/>
          <w:spacing w:val="-13"/>
          <w:szCs w:val="21"/>
          <w:lang w:val="en-US" w:eastAsia="zh-CN"/>
        </w:rPr>
        <w:t>一、</w:t>
      </w:r>
      <w:r>
        <w:rPr>
          <w:rFonts w:hint="eastAsia" w:ascii="宋体" w:hAnsi="宋体"/>
          <w:b/>
          <w:color w:val="0070C0"/>
          <w:spacing w:val="-13"/>
          <w:szCs w:val="21"/>
        </w:rPr>
        <w:t>学院及专业简介</w:t>
      </w:r>
    </w:p>
    <w:p w14:paraId="5521D5B8">
      <w:pPr>
        <w:tabs>
          <w:tab w:val="left" w:pos="720"/>
        </w:tabs>
        <w:spacing w:line="360" w:lineRule="auto"/>
        <w:ind w:firstLine="420" w:firstLineChars="200"/>
        <w:contextualSpacing/>
        <w:rPr>
          <w:rFonts w:hint="eastAsia" w:ascii="宋体" w:hAnsi="宋体" w:cs="宋体"/>
          <w:bCs/>
          <w:kern w:val="0"/>
          <w:szCs w:val="21"/>
        </w:rPr>
      </w:pPr>
      <w:r>
        <w:rPr>
          <w:rFonts w:hint="eastAsia" w:ascii="宋体" w:hAnsi="宋体" w:cs="宋体"/>
          <w:bCs/>
          <w:kern w:val="0"/>
          <w:szCs w:val="21"/>
        </w:rPr>
        <w:t>资源与安全工程学院兴发矿业学院始建于</w:t>
      </w:r>
      <w:r>
        <w:rPr>
          <w:rFonts w:hint="eastAsia" w:ascii="宋体" w:hAnsi="宋体" w:cs="宋体"/>
          <w:bCs/>
          <w:kern w:val="0"/>
          <w:szCs w:val="21"/>
          <w:lang w:val="en-US"/>
        </w:rPr>
        <w:t>1978</w:t>
      </w:r>
      <w:r>
        <w:rPr>
          <w:rFonts w:hint="eastAsia" w:ascii="宋体" w:hAnsi="宋体" w:cs="宋体"/>
          <w:bCs/>
          <w:kern w:val="0"/>
          <w:szCs w:val="21"/>
        </w:rPr>
        <w:t>年的化学矿山系，先后经历了化学矿山系、资源工程系、材料科学与工程系、土木工程系、环境科学与工程系的建设和发展，</w:t>
      </w:r>
      <w:r>
        <w:rPr>
          <w:rFonts w:hint="default" w:ascii="宋体" w:hAnsi="宋体" w:cs="宋体"/>
          <w:bCs/>
          <w:kern w:val="0"/>
          <w:szCs w:val="21"/>
          <w:lang w:val="en-US"/>
        </w:rPr>
        <w:t>2003</w:t>
      </w:r>
      <w:r>
        <w:rPr>
          <w:rFonts w:hint="eastAsia" w:ascii="宋体" w:hAnsi="宋体" w:cs="宋体"/>
          <w:bCs/>
          <w:kern w:val="0"/>
          <w:szCs w:val="21"/>
        </w:rPr>
        <w:t>年学校院系调整，原土木工程系和环境科学与工程系撤系建院，先后更名为环境与城市建设学院、资源与土木工程学院。</w:t>
      </w:r>
      <w:r>
        <w:rPr>
          <w:rFonts w:hint="default" w:ascii="宋体" w:hAnsi="宋体" w:cs="宋体"/>
          <w:bCs/>
          <w:kern w:val="0"/>
          <w:szCs w:val="21"/>
          <w:lang w:val="en-US"/>
        </w:rPr>
        <w:t>2018</w:t>
      </w:r>
      <w:r>
        <w:rPr>
          <w:rFonts w:hint="eastAsia" w:ascii="宋体" w:hAnsi="宋体" w:cs="宋体"/>
          <w:bCs/>
          <w:kern w:val="0"/>
          <w:szCs w:val="21"/>
        </w:rPr>
        <w:t>年</w:t>
      </w:r>
      <w:r>
        <w:rPr>
          <w:rFonts w:hint="default" w:ascii="宋体" w:hAnsi="宋体" w:cs="宋体"/>
          <w:bCs/>
          <w:kern w:val="0"/>
          <w:szCs w:val="21"/>
          <w:lang w:val="en-US"/>
        </w:rPr>
        <w:t>1</w:t>
      </w:r>
      <w:r>
        <w:rPr>
          <w:rFonts w:hint="eastAsia" w:ascii="宋体" w:hAnsi="宋体" w:cs="宋体"/>
          <w:bCs/>
          <w:kern w:val="0"/>
          <w:szCs w:val="21"/>
        </w:rPr>
        <w:t>月，学校为加强产教融合，创新人才培养模式，成立兴发矿业学院，由湖北兴发化工集团股份有限公司支持创建产、学、研高度融合的新学院。</w:t>
      </w:r>
      <w:r>
        <w:rPr>
          <w:rFonts w:hint="default" w:ascii="宋体" w:hAnsi="宋体" w:cs="宋体"/>
          <w:bCs/>
          <w:kern w:val="0"/>
          <w:szCs w:val="21"/>
          <w:lang w:val="en-US"/>
        </w:rPr>
        <w:t>2019</w:t>
      </w:r>
      <w:r>
        <w:rPr>
          <w:rFonts w:hint="eastAsia" w:ascii="宋体" w:hAnsi="宋体" w:cs="宋体"/>
          <w:bCs/>
          <w:kern w:val="0"/>
          <w:szCs w:val="21"/>
        </w:rPr>
        <w:t>年</w:t>
      </w:r>
      <w:r>
        <w:rPr>
          <w:rFonts w:hint="default" w:ascii="宋体" w:hAnsi="宋体" w:cs="宋体"/>
          <w:bCs/>
          <w:kern w:val="0"/>
          <w:szCs w:val="21"/>
          <w:lang w:val="en-US"/>
        </w:rPr>
        <w:t>9</w:t>
      </w:r>
      <w:r>
        <w:rPr>
          <w:rFonts w:hint="eastAsia" w:ascii="宋体" w:hAnsi="宋体" w:cs="宋体"/>
          <w:bCs/>
          <w:kern w:val="0"/>
          <w:szCs w:val="21"/>
        </w:rPr>
        <w:t>月，成立资源与安全工程学院，与兴发矿业学院合署办公。 </w:t>
      </w:r>
    </w:p>
    <w:p w14:paraId="3BC0F5D6">
      <w:pPr>
        <w:widowControl/>
        <w:spacing w:before="100" w:beforeAutospacing="1" w:after="100" w:afterAutospacing="1" w:line="360" w:lineRule="auto"/>
        <w:ind w:firstLine="420" w:firstLineChars="200"/>
        <w:contextualSpacing/>
        <w:jc w:val="left"/>
        <w:outlineLvl w:val="2"/>
        <w:rPr>
          <w:rFonts w:hint="eastAsia" w:ascii="宋体" w:hAnsi="宋体"/>
          <w:szCs w:val="21"/>
        </w:rPr>
      </w:pPr>
      <w:r>
        <w:rPr>
          <w:rFonts w:hint="eastAsia" w:ascii="宋体" w:hAnsi="宋体"/>
          <w:szCs w:val="21"/>
          <w:lang w:val="en-US" w:eastAsia="zh-CN"/>
        </w:rPr>
        <w:t>采矿</w:t>
      </w:r>
      <w:r>
        <w:rPr>
          <w:rFonts w:hint="eastAsia" w:ascii="宋体" w:hAnsi="宋体"/>
          <w:szCs w:val="21"/>
        </w:rPr>
        <w:t>工程是武汉工程大学采矿工程专业于1980年开始招生，是全国唯一培养化工矿山专业人才的学科，是湖北省双一流建设学科。专业依托的矿业工程学科为湖北省国内“双一流”建设学科，拥有矿业工程一级学科硕士学位授予权及资源与环境专业硕士学位授予权。</w:t>
      </w:r>
    </w:p>
    <w:p w14:paraId="7D50C948">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武汉工程大学</w:t>
      </w:r>
      <w:r>
        <w:rPr>
          <w:rFonts w:hint="eastAsia" w:ascii="宋体" w:hAnsi="宋体" w:cs="宋体"/>
          <w:bCs/>
          <w:kern w:val="0"/>
          <w:szCs w:val="21"/>
        </w:rPr>
        <w:t>资源与安全工程学院</w:t>
      </w:r>
      <w:r>
        <w:rPr>
          <w:rFonts w:hint="eastAsia" w:ascii="宋体" w:hAnsi="宋体"/>
          <w:szCs w:val="21"/>
        </w:rPr>
        <w:t>面向社会开设</w:t>
      </w:r>
      <w:r>
        <w:rPr>
          <w:rFonts w:hint="eastAsia" w:ascii="宋体" w:hAnsi="宋体"/>
          <w:szCs w:val="21"/>
          <w:lang w:val="en-US" w:eastAsia="zh-CN"/>
        </w:rPr>
        <w:t>采矿</w:t>
      </w:r>
      <w:r>
        <w:rPr>
          <w:rFonts w:hint="eastAsia" w:ascii="宋体" w:hAnsi="宋体"/>
          <w:szCs w:val="21"/>
        </w:rPr>
        <w:t>工程专业同等学力人员申请硕士学位课程班，用以培养更多的</w:t>
      </w:r>
      <w:r>
        <w:rPr>
          <w:rFonts w:hint="eastAsia" w:ascii="宋体" w:hAnsi="宋体"/>
          <w:szCs w:val="21"/>
          <w:lang w:val="en-US" w:eastAsia="zh-CN"/>
        </w:rPr>
        <w:t>采矿</w:t>
      </w:r>
      <w:r>
        <w:rPr>
          <w:rFonts w:hint="eastAsia" w:ascii="宋体" w:hAnsi="宋体"/>
          <w:szCs w:val="21"/>
        </w:rPr>
        <w:t>工程专业人才。</w:t>
      </w:r>
    </w:p>
    <w:p w14:paraId="07CD7C6F">
      <w:pPr>
        <w:widowControl/>
        <w:spacing w:before="100" w:beforeAutospacing="1" w:after="100" w:afterAutospacing="1" w:line="360" w:lineRule="auto"/>
        <w:contextualSpacing/>
        <w:jc w:val="left"/>
        <w:outlineLvl w:val="2"/>
        <w:rPr>
          <w:rFonts w:ascii="宋体" w:hAnsi="宋体"/>
          <w:szCs w:val="21"/>
        </w:rPr>
      </w:pPr>
      <w:bookmarkStart w:id="0" w:name="_GoBack"/>
      <w:bookmarkEnd w:id="0"/>
    </w:p>
    <w:p w14:paraId="72BD6E72">
      <w:pPr>
        <w:widowControl/>
        <w:spacing w:before="100" w:beforeAutospacing="1" w:after="100" w:afterAutospacing="1" w:line="360" w:lineRule="auto"/>
        <w:contextualSpacing/>
        <w:jc w:val="left"/>
        <w:outlineLvl w:val="2"/>
        <w:rPr>
          <w:rFonts w:ascii="宋体" w:hAnsi="宋体"/>
          <w:szCs w:val="21"/>
        </w:rPr>
      </w:pPr>
      <w:r>
        <w:rPr>
          <w:rFonts w:ascii="宋体" w:hAnsi="宋体" w:cs="宋体"/>
          <w:b/>
          <w:bCs/>
          <w:color w:val="0070C0"/>
          <w:kern w:val="0"/>
          <w:szCs w:val="21"/>
        </w:rPr>
        <w:t>二、培养目标</w:t>
      </w:r>
    </w:p>
    <w:p w14:paraId="432040CC">
      <w:pPr>
        <w:widowControl/>
        <w:spacing w:before="100" w:beforeAutospacing="1" w:after="100" w:afterAutospacing="1" w:line="360" w:lineRule="auto"/>
        <w:ind w:firstLine="420" w:firstLineChars="200"/>
        <w:contextualSpacing/>
        <w:jc w:val="left"/>
        <w:outlineLvl w:val="2"/>
        <w:rPr>
          <w:rFonts w:hint="eastAsia" w:ascii="宋体" w:hAnsi="宋体"/>
          <w:szCs w:val="21"/>
        </w:rPr>
      </w:pPr>
      <w:r>
        <w:rPr>
          <w:rFonts w:hint="eastAsia" w:ascii="宋体" w:hAnsi="宋体"/>
          <w:szCs w:val="21"/>
          <w:lang w:val="en-US" w:eastAsia="zh-CN"/>
        </w:rPr>
        <w:t>本专业</w:t>
      </w:r>
      <w:r>
        <w:rPr>
          <w:rFonts w:hint="eastAsia" w:ascii="宋体" w:hAnsi="宋体"/>
          <w:szCs w:val="21"/>
        </w:rPr>
        <w:t>培养满足现代化工矿山企业需求，德智体美劳全面发展，社会责任感以及创新意识强，具有良好的人文和科学素养、较宽厚的基础理论知识和较强的工程实践能力，具备磷矿等矿产资源开发的基本理论知识与技术，能在磷矿等矿产资源开发领域从事技术管理、工程设计、技术研究与开发、矿区开发规划以及地下工程设计等方面工作的高素质应用型工程技术骨干人才。</w:t>
      </w:r>
    </w:p>
    <w:p w14:paraId="7F26B382">
      <w:pPr>
        <w:widowControl/>
        <w:spacing w:before="100" w:beforeAutospacing="1" w:after="100" w:afterAutospacing="1" w:line="360" w:lineRule="auto"/>
        <w:contextualSpacing/>
        <w:jc w:val="left"/>
        <w:outlineLvl w:val="2"/>
        <w:rPr>
          <w:rFonts w:ascii="宋体" w:hAnsi="宋体"/>
          <w:b/>
          <w:color w:val="0070C0"/>
          <w:szCs w:val="21"/>
        </w:rPr>
      </w:pPr>
      <w:r>
        <w:rPr>
          <w:rFonts w:ascii="宋体" w:hAnsi="宋体"/>
          <w:b/>
          <w:color w:val="0070C0"/>
          <w:szCs w:val="21"/>
        </w:rPr>
        <w:t>三、专业优势</w:t>
      </w:r>
    </w:p>
    <w:p w14:paraId="7742C3C4">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1.</w:t>
      </w:r>
      <w:r>
        <w:rPr>
          <w:rFonts w:ascii="宋体" w:hAnsi="宋体"/>
          <w:szCs w:val="21"/>
        </w:rPr>
        <w:t>【复合型学科】</w:t>
      </w:r>
      <w:r>
        <w:rPr>
          <w:rFonts w:hint="eastAsia" w:ascii="宋体" w:hAnsi="宋体"/>
          <w:szCs w:val="21"/>
          <w:lang w:val="en-US" w:eastAsia="zh-CN"/>
        </w:rPr>
        <w:t>采矿</w:t>
      </w:r>
      <w:r>
        <w:rPr>
          <w:rFonts w:hint="eastAsia" w:ascii="宋体" w:hAnsi="宋体"/>
          <w:szCs w:val="21"/>
        </w:rPr>
        <w:t>工程专业是新兴的工程技术与管理交叉复合性学科，培养复合型</w:t>
      </w:r>
      <w:r>
        <w:rPr>
          <w:rFonts w:hint="eastAsia" w:ascii="宋体" w:hAnsi="宋体"/>
          <w:szCs w:val="21"/>
          <w:lang w:val="en-US" w:eastAsia="zh-CN"/>
        </w:rPr>
        <w:t>采矿工业</w:t>
      </w:r>
      <w:r>
        <w:rPr>
          <w:rFonts w:hint="eastAsia" w:ascii="宋体" w:hAnsi="宋体"/>
          <w:szCs w:val="21"/>
        </w:rPr>
        <w:t>管理人才；</w:t>
      </w:r>
    </w:p>
    <w:p w14:paraId="414745C9">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2.【教学重实操】学院拥有工程管理实验教学中心，课堂教学理论联系实践重视在职学员的实操性；</w:t>
      </w:r>
    </w:p>
    <w:p w14:paraId="44FD0463">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3.【申硕仅考1科】学员满足申硕条件参加全国统一同等学力申请硕士学位考试，仅考外语1科目，百分制六十分及格，难度较低；</w:t>
      </w:r>
    </w:p>
    <w:p w14:paraId="3650A989">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4.【</w:t>
      </w:r>
      <w:r>
        <w:rPr>
          <w:rFonts w:ascii="宋体" w:hAnsi="宋体"/>
          <w:szCs w:val="21"/>
        </w:rPr>
        <w:t>学习方式</w:t>
      </w:r>
      <w:r>
        <w:rPr>
          <w:rFonts w:hint="eastAsia" w:ascii="宋体" w:hAnsi="宋体"/>
          <w:szCs w:val="21"/>
        </w:rPr>
        <w:t>灵活】本专业</w:t>
      </w:r>
      <w:r>
        <w:rPr>
          <w:rFonts w:ascii="宋体" w:hAnsi="宋体"/>
          <w:szCs w:val="21"/>
        </w:rPr>
        <w:t>设校本部面授班、异地网络教学班，学员不受时间、地域限制随时可学习，方便灵活</w:t>
      </w:r>
      <w:r>
        <w:rPr>
          <w:rFonts w:hint="eastAsia" w:ascii="宋体" w:hAnsi="宋体"/>
          <w:szCs w:val="21"/>
        </w:rPr>
        <w:t>；</w:t>
      </w:r>
    </w:p>
    <w:p w14:paraId="7FA09C5E">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5.</w:t>
      </w:r>
      <w:r>
        <w:rPr>
          <w:rFonts w:ascii="宋体" w:hAnsi="宋体"/>
          <w:szCs w:val="21"/>
        </w:rPr>
        <w:t>【可获名校证书】拟申请硕士学位的同等学力人员具备条件后，经学校学位评定委员会批准，授予武汉工程大学硕士学位证书</w:t>
      </w:r>
      <w:r>
        <w:rPr>
          <w:rFonts w:hint="eastAsia" w:ascii="宋体" w:hAnsi="宋体"/>
          <w:szCs w:val="21"/>
        </w:rPr>
        <w:t>。</w:t>
      </w:r>
    </w:p>
    <w:p w14:paraId="0759DD15">
      <w:pPr>
        <w:widowControl/>
        <w:spacing w:before="100" w:beforeAutospacing="1" w:after="100" w:afterAutospacing="1" w:line="360" w:lineRule="auto"/>
        <w:ind w:firstLine="420" w:firstLineChars="200"/>
        <w:contextualSpacing/>
        <w:jc w:val="left"/>
        <w:outlineLvl w:val="2"/>
        <w:rPr>
          <w:rFonts w:ascii="宋体" w:hAnsi="宋体"/>
          <w:szCs w:val="21"/>
        </w:rPr>
      </w:pPr>
      <w:r>
        <w:rPr>
          <w:rFonts w:hint="eastAsia" w:ascii="宋体" w:hAnsi="宋体"/>
          <w:szCs w:val="21"/>
        </w:rPr>
        <w:t>6.【学知识结人脉】学习期间不定期举行课外活动，学知识结高端校友人脉。</w:t>
      </w:r>
    </w:p>
    <w:p w14:paraId="49027C4D">
      <w:pPr>
        <w:widowControl/>
        <w:spacing w:before="100" w:beforeAutospacing="1" w:after="100" w:afterAutospacing="1" w:line="360" w:lineRule="auto"/>
        <w:contextualSpacing/>
        <w:jc w:val="left"/>
        <w:outlineLvl w:val="2"/>
        <w:rPr>
          <w:rFonts w:ascii="宋体" w:hAnsi="宋体"/>
          <w:szCs w:val="21"/>
        </w:rPr>
      </w:pPr>
    </w:p>
    <w:p w14:paraId="1C5B2FE7">
      <w:pPr>
        <w:widowControl/>
        <w:spacing w:before="100" w:beforeAutospacing="1" w:after="100" w:afterAutospacing="1" w:line="360" w:lineRule="auto"/>
        <w:contextualSpacing/>
        <w:jc w:val="left"/>
        <w:outlineLvl w:val="2"/>
        <w:rPr>
          <w:rFonts w:ascii="宋体" w:hAnsi="宋体"/>
          <w:b/>
          <w:color w:val="0070C0"/>
          <w:szCs w:val="21"/>
        </w:rPr>
      </w:pPr>
      <w:r>
        <w:rPr>
          <w:rFonts w:hint="eastAsia" w:ascii="宋体" w:hAnsi="宋体"/>
          <w:b/>
          <w:color w:val="0070C0"/>
          <w:szCs w:val="21"/>
        </w:rPr>
        <w:t>四、课程设置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2160"/>
        <w:gridCol w:w="3982"/>
        <w:gridCol w:w="7"/>
      </w:tblGrid>
      <w:tr w14:paraId="7C3E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87" w:hRule="atLeast"/>
        </w:trPr>
        <w:tc>
          <w:tcPr>
            <w:tcW w:w="8411" w:type="dxa"/>
            <w:gridSpan w:val="3"/>
            <w:vAlign w:val="center"/>
          </w:tcPr>
          <w:p w14:paraId="78684C64">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lang w:val="en-US" w:eastAsia="zh-CN"/>
                <w14:textFill>
                  <w14:solidFill>
                    <w14:schemeClr w14:val="tx1"/>
                  </w14:solidFill>
                </w14:textFill>
              </w:rPr>
              <w:t>采矿</w:t>
            </w:r>
            <w:r>
              <w:rPr>
                <w:rFonts w:hint="eastAsia" w:ascii="宋体" w:hAnsi="宋体"/>
                <w:b/>
                <w:bCs/>
                <w:color w:val="000000" w:themeColor="text1"/>
                <w:szCs w:val="21"/>
                <w14:textFill>
                  <w14:solidFill>
                    <w14:schemeClr w14:val="tx1"/>
                  </w14:solidFill>
                </w14:textFill>
              </w:rPr>
              <w:t>工程专业课程设置</w:t>
            </w:r>
          </w:p>
        </w:tc>
      </w:tr>
      <w:tr w14:paraId="3FF1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2" w:hRule="atLeast"/>
        </w:trPr>
        <w:tc>
          <w:tcPr>
            <w:tcW w:w="2269" w:type="dxa"/>
            <w:vAlign w:val="center"/>
          </w:tcPr>
          <w:p w14:paraId="4408FEEE">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综合英语</w:t>
            </w:r>
          </w:p>
        </w:tc>
        <w:tc>
          <w:tcPr>
            <w:tcW w:w="2160" w:type="dxa"/>
            <w:vAlign w:val="center"/>
          </w:tcPr>
          <w:p w14:paraId="39DA2301">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工程伦理</w:t>
            </w:r>
          </w:p>
        </w:tc>
        <w:tc>
          <w:tcPr>
            <w:tcW w:w="3982" w:type="dxa"/>
            <w:vAlign w:val="center"/>
          </w:tcPr>
          <w:p w14:paraId="67ACBA03">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中国特色社会主义理论与实践研究</w:t>
            </w:r>
          </w:p>
        </w:tc>
      </w:tr>
      <w:tr w14:paraId="5CB8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2" w:hRule="atLeast"/>
        </w:trPr>
        <w:tc>
          <w:tcPr>
            <w:tcW w:w="2269" w:type="dxa"/>
            <w:vAlign w:val="center"/>
          </w:tcPr>
          <w:p w14:paraId="486EF27E">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研究方法与论文写作</w:t>
            </w:r>
          </w:p>
        </w:tc>
        <w:tc>
          <w:tcPr>
            <w:tcW w:w="2160" w:type="dxa"/>
            <w:vAlign w:val="center"/>
          </w:tcPr>
          <w:p w14:paraId="3A0AE51C">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高等工程数学</w:t>
            </w:r>
          </w:p>
        </w:tc>
        <w:tc>
          <w:tcPr>
            <w:tcW w:w="3982" w:type="dxa"/>
            <w:vAlign w:val="center"/>
          </w:tcPr>
          <w:p w14:paraId="6FB17A4F">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自然辩证法概论</w:t>
            </w:r>
          </w:p>
        </w:tc>
      </w:tr>
      <w:tr w14:paraId="02EC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269" w:type="dxa"/>
            <w:vAlign w:val="center"/>
          </w:tcPr>
          <w:p w14:paraId="4FD2EB38">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矿山系统工程</w:t>
            </w:r>
          </w:p>
        </w:tc>
        <w:tc>
          <w:tcPr>
            <w:tcW w:w="2160" w:type="dxa"/>
            <w:vAlign w:val="center"/>
          </w:tcPr>
          <w:p w14:paraId="01F93CC9">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高等岩体力学</w:t>
            </w:r>
          </w:p>
        </w:tc>
        <w:tc>
          <w:tcPr>
            <w:tcW w:w="3989" w:type="dxa"/>
            <w:gridSpan w:val="2"/>
            <w:vAlign w:val="center"/>
          </w:tcPr>
          <w:p w14:paraId="7306FEB6">
            <w:pPr>
              <w:widowControl/>
              <w:spacing w:before="100" w:beforeAutospacing="1" w:after="100" w:afterAutospacing="1" w:line="360" w:lineRule="auto"/>
              <w:contextualSpacing/>
              <w:jc w:val="center"/>
              <w:outlineLvl w:val="2"/>
              <w:rPr>
                <w:rFonts w:ascii="宋体" w:hAnsi="宋体"/>
                <w:color w:val="000000" w:themeColor="text1"/>
                <w:szCs w:val="21"/>
                <w:highlight w:val="cya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矿山数字化技术</w:t>
            </w:r>
          </w:p>
        </w:tc>
      </w:tr>
      <w:tr w14:paraId="1DE1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269" w:type="dxa"/>
            <w:vAlign w:val="center"/>
          </w:tcPr>
          <w:p w14:paraId="3B789B88">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控制爆破</w:t>
            </w:r>
          </w:p>
        </w:tc>
        <w:tc>
          <w:tcPr>
            <w:tcW w:w="2160" w:type="dxa"/>
            <w:vAlign w:val="center"/>
          </w:tcPr>
          <w:p w14:paraId="0BA45D40">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地压稳定性分析</w:t>
            </w:r>
          </w:p>
        </w:tc>
        <w:tc>
          <w:tcPr>
            <w:tcW w:w="3989" w:type="dxa"/>
            <w:gridSpan w:val="2"/>
            <w:vAlign w:val="center"/>
          </w:tcPr>
          <w:p w14:paraId="2F105947">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矿井通风理论与技术</w:t>
            </w:r>
          </w:p>
        </w:tc>
      </w:tr>
      <w:tr w14:paraId="4EAA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269" w:type="dxa"/>
            <w:vAlign w:val="center"/>
          </w:tcPr>
          <w:p w14:paraId="47AFBDFB">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采矿地质学</w:t>
            </w:r>
          </w:p>
        </w:tc>
        <w:tc>
          <w:tcPr>
            <w:tcW w:w="2160" w:type="dxa"/>
            <w:vAlign w:val="center"/>
          </w:tcPr>
          <w:p w14:paraId="2D0BB5E1">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矿山地下工程</w:t>
            </w:r>
          </w:p>
        </w:tc>
        <w:tc>
          <w:tcPr>
            <w:tcW w:w="3989" w:type="dxa"/>
            <w:gridSpan w:val="2"/>
            <w:vAlign w:val="center"/>
          </w:tcPr>
          <w:p w14:paraId="4B299A4D">
            <w:pPr>
              <w:widowControl/>
              <w:spacing w:before="100" w:beforeAutospacing="1" w:after="100" w:afterAutospacing="1" w:line="360" w:lineRule="auto"/>
              <w:contextualSpacing/>
              <w:jc w:val="center"/>
              <w:outlineLvl w:val="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矿山安全监测技术</w:t>
            </w:r>
          </w:p>
        </w:tc>
      </w:tr>
      <w:tr w14:paraId="1236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269" w:type="dxa"/>
            <w:vAlign w:val="center"/>
          </w:tcPr>
          <w:p w14:paraId="212FB6AF">
            <w:pPr>
              <w:widowControl/>
              <w:spacing w:before="100" w:beforeAutospacing="1" w:after="100" w:afterAutospacing="1" w:line="360" w:lineRule="auto"/>
              <w:contextualSpacing/>
              <w:jc w:val="center"/>
              <w:outlineLvl w:val="2"/>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高等采矿学</w:t>
            </w:r>
          </w:p>
        </w:tc>
        <w:tc>
          <w:tcPr>
            <w:tcW w:w="2160" w:type="dxa"/>
            <w:vAlign w:val="center"/>
          </w:tcPr>
          <w:p w14:paraId="17A2D0E9">
            <w:pPr>
              <w:widowControl/>
              <w:spacing w:before="100" w:beforeAutospacing="1" w:after="100" w:afterAutospacing="1" w:line="360" w:lineRule="auto"/>
              <w:contextualSpacing/>
              <w:jc w:val="center"/>
              <w:outlineLvl w:val="2"/>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矿山职业危害与防护</w:t>
            </w:r>
          </w:p>
        </w:tc>
        <w:tc>
          <w:tcPr>
            <w:tcW w:w="3989" w:type="dxa"/>
            <w:gridSpan w:val="2"/>
            <w:vAlign w:val="center"/>
          </w:tcPr>
          <w:p w14:paraId="1AA90342">
            <w:pPr>
              <w:widowControl/>
              <w:spacing w:before="100" w:beforeAutospacing="1" w:after="100" w:afterAutospacing="1" w:line="360" w:lineRule="auto"/>
              <w:contextualSpacing/>
              <w:jc w:val="center"/>
              <w:outlineLvl w:val="2"/>
              <w:rPr>
                <w:rFonts w:hint="eastAsia" w:ascii="宋体" w:hAnsi="宋体"/>
                <w:color w:val="000000" w:themeColor="text1"/>
                <w:szCs w:val="21"/>
                <w14:textFill>
                  <w14:solidFill>
                    <w14:schemeClr w14:val="tx1"/>
                  </w14:solidFill>
                </w14:textFill>
              </w:rPr>
            </w:pPr>
          </w:p>
        </w:tc>
      </w:tr>
    </w:tbl>
    <w:p w14:paraId="049C7B26">
      <w:pPr>
        <w:pStyle w:val="5"/>
        <w:snapToGrid w:val="0"/>
        <w:spacing w:line="360" w:lineRule="auto"/>
        <w:ind w:firstLine="2730" w:firstLineChars="1300"/>
        <w:contextualSpacing/>
        <w:rPr>
          <w:rFonts w:hint="eastAsia"/>
          <w:sz w:val="21"/>
          <w:szCs w:val="21"/>
        </w:rPr>
      </w:pPr>
    </w:p>
    <w:p w14:paraId="469129AD">
      <w:pPr>
        <w:pStyle w:val="5"/>
        <w:snapToGrid w:val="0"/>
        <w:spacing w:line="360" w:lineRule="auto"/>
        <w:ind w:firstLine="2730" w:firstLineChars="1300"/>
        <w:contextualSpacing/>
        <w:rPr>
          <w:sz w:val="21"/>
          <w:szCs w:val="21"/>
        </w:rPr>
      </w:pPr>
      <w:r>
        <w:rPr>
          <w:rFonts w:hint="eastAsia"/>
          <w:sz w:val="21"/>
          <w:szCs w:val="21"/>
        </w:rPr>
        <w:t>注：部分课程教学参照实际</w:t>
      </w:r>
    </w:p>
    <w:p w14:paraId="14B9A3D6">
      <w:pPr>
        <w:pStyle w:val="5"/>
        <w:snapToGrid w:val="0"/>
        <w:spacing w:line="360" w:lineRule="auto"/>
        <w:ind w:firstLine="2730" w:firstLineChars="1300"/>
        <w:contextualSpacing/>
        <w:rPr>
          <w:sz w:val="21"/>
          <w:szCs w:val="21"/>
        </w:rPr>
      </w:pPr>
    </w:p>
    <w:p w14:paraId="2449B25F">
      <w:pPr>
        <w:pStyle w:val="5"/>
        <w:snapToGrid w:val="0"/>
        <w:spacing w:line="360" w:lineRule="auto"/>
        <w:contextualSpacing/>
        <w:rPr>
          <w:b/>
          <w:color w:val="0070C0"/>
          <w:sz w:val="21"/>
          <w:szCs w:val="21"/>
        </w:rPr>
      </w:pPr>
      <w:r>
        <w:rPr>
          <w:rFonts w:hint="eastAsia"/>
          <w:b/>
          <w:color w:val="0070C0"/>
          <w:sz w:val="21"/>
          <w:szCs w:val="21"/>
        </w:rPr>
        <w:t>五</w:t>
      </w:r>
      <w:r>
        <w:rPr>
          <w:b/>
          <w:color w:val="0070C0"/>
          <w:sz w:val="21"/>
          <w:szCs w:val="21"/>
        </w:rPr>
        <w:t>、报考条件</w:t>
      </w:r>
    </w:p>
    <w:p w14:paraId="7E465F27">
      <w:pPr>
        <w:pStyle w:val="5"/>
        <w:snapToGrid w:val="0"/>
        <w:spacing w:line="360" w:lineRule="auto"/>
        <w:contextualSpacing/>
        <w:rPr>
          <w:sz w:val="21"/>
          <w:szCs w:val="21"/>
        </w:rPr>
      </w:pPr>
      <w:r>
        <w:rPr>
          <w:sz w:val="21"/>
          <w:szCs w:val="21"/>
        </w:rPr>
        <w:t>　1</w:t>
      </w:r>
      <w:r>
        <w:rPr>
          <w:rFonts w:hint="eastAsia"/>
          <w:sz w:val="21"/>
          <w:szCs w:val="21"/>
        </w:rPr>
        <w:t>.</w:t>
      </w:r>
      <w:r>
        <w:rPr>
          <w:sz w:val="21"/>
          <w:szCs w:val="21"/>
        </w:rPr>
        <w:t>遵纪守法，品行端正，在教学</w:t>
      </w:r>
      <w:r>
        <w:rPr>
          <w:rFonts w:hint="eastAsia"/>
          <w:sz w:val="21"/>
          <w:szCs w:val="21"/>
        </w:rPr>
        <w:t>、</w:t>
      </w:r>
      <w:r>
        <w:rPr>
          <w:sz w:val="21"/>
          <w:szCs w:val="21"/>
        </w:rPr>
        <w:t>科研、专门技术、管理等方面做出成绩的在职人员</w:t>
      </w:r>
      <w:r>
        <w:rPr>
          <w:rFonts w:hint="eastAsia"/>
          <w:sz w:val="21"/>
          <w:szCs w:val="21"/>
        </w:rPr>
        <w:t>；</w:t>
      </w:r>
    </w:p>
    <w:p w14:paraId="1433A6A3">
      <w:pPr>
        <w:pStyle w:val="5"/>
        <w:snapToGrid w:val="0"/>
        <w:spacing w:line="360" w:lineRule="auto"/>
        <w:contextualSpacing/>
        <w:rPr>
          <w:sz w:val="21"/>
          <w:szCs w:val="21"/>
        </w:rPr>
      </w:pPr>
      <w:r>
        <w:rPr>
          <w:sz w:val="21"/>
          <w:szCs w:val="21"/>
        </w:rPr>
        <w:t>　2</w:t>
      </w:r>
      <w:r>
        <w:rPr>
          <w:rFonts w:hint="eastAsia"/>
          <w:sz w:val="21"/>
          <w:szCs w:val="21"/>
        </w:rPr>
        <w:t>.</w:t>
      </w:r>
      <w:r>
        <w:rPr>
          <w:rFonts w:hint="eastAsia"/>
          <w:sz w:val="21"/>
          <w:szCs w:val="21"/>
          <w:lang w:val="en-US" w:eastAsia="zh-CN"/>
        </w:rPr>
        <w:t>报读专业与前置专业相仿，</w:t>
      </w:r>
      <w:r>
        <w:rPr>
          <w:sz w:val="21"/>
          <w:szCs w:val="21"/>
        </w:rPr>
        <w:t>已获得学士学位，并在获得学士学位后工作三年以上，或虽无学士学位但已获得硕士或博士学位。对已获得学士、硕士或博士学位为国(境)外学位的，其所获的国(境)外学位需经教育部留学服务中心认证</w:t>
      </w:r>
      <w:r>
        <w:rPr>
          <w:rFonts w:hint="eastAsia"/>
          <w:sz w:val="21"/>
          <w:szCs w:val="21"/>
        </w:rPr>
        <w:t>；</w:t>
      </w:r>
    </w:p>
    <w:p w14:paraId="76BAADA9">
      <w:pPr>
        <w:pStyle w:val="5"/>
        <w:snapToGrid w:val="0"/>
        <w:spacing w:line="360" w:lineRule="auto"/>
        <w:contextualSpacing/>
        <w:rPr>
          <w:sz w:val="21"/>
          <w:szCs w:val="21"/>
        </w:rPr>
      </w:pPr>
      <w:r>
        <w:rPr>
          <w:rFonts w:hint="eastAsia"/>
          <w:sz w:val="21"/>
          <w:szCs w:val="21"/>
        </w:rPr>
        <w:t xml:space="preserve">  3.</w:t>
      </w:r>
      <w:r>
        <w:rPr>
          <w:sz w:val="21"/>
          <w:szCs w:val="21"/>
        </w:rPr>
        <w:t>大专学历和本科学历无学士学位者，可参加研修班课程学习。</w:t>
      </w:r>
    </w:p>
    <w:p w14:paraId="34E6E598">
      <w:pPr>
        <w:pStyle w:val="5"/>
        <w:snapToGrid w:val="0"/>
        <w:spacing w:line="360" w:lineRule="auto"/>
        <w:ind w:firstLine="420" w:firstLineChars="200"/>
        <w:contextualSpacing/>
        <w:rPr>
          <w:sz w:val="21"/>
          <w:szCs w:val="21"/>
        </w:rPr>
      </w:pPr>
    </w:p>
    <w:p w14:paraId="526B259F">
      <w:pPr>
        <w:pStyle w:val="5"/>
        <w:snapToGrid w:val="0"/>
        <w:spacing w:line="360" w:lineRule="auto"/>
        <w:contextualSpacing/>
        <w:rPr>
          <w:b/>
          <w:color w:val="0070C0"/>
          <w:sz w:val="21"/>
          <w:szCs w:val="21"/>
        </w:rPr>
      </w:pPr>
      <w:r>
        <w:rPr>
          <w:rFonts w:hint="eastAsia"/>
          <w:b/>
          <w:color w:val="0070C0"/>
          <w:sz w:val="21"/>
          <w:szCs w:val="21"/>
        </w:rPr>
        <w:t>六</w:t>
      </w:r>
      <w:r>
        <w:rPr>
          <w:b/>
          <w:color w:val="0070C0"/>
          <w:sz w:val="21"/>
          <w:szCs w:val="21"/>
        </w:rPr>
        <w:t>、报名材料</w:t>
      </w:r>
    </w:p>
    <w:p w14:paraId="4E52ACE1">
      <w:pPr>
        <w:pStyle w:val="5"/>
        <w:snapToGrid w:val="0"/>
        <w:spacing w:line="360" w:lineRule="auto"/>
        <w:ind w:firstLine="420" w:firstLineChars="200"/>
        <w:contextualSpacing/>
        <w:rPr>
          <w:sz w:val="21"/>
          <w:szCs w:val="21"/>
        </w:rPr>
      </w:pPr>
      <w:r>
        <w:rPr>
          <w:sz w:val="21"/>
          <w:szCs w:val="21"/>
        </w:rPr>
        <w:t>1.</w:t>
      </w:r>
      <w:r>
        <w:rPr>
          <w:rFonts w:hint="eastAsia"/>
          <w:sz w:val="21"/>
          <w:szCs w:val="21"/>
          <w:lang w:val="en-US" w:eastAsia="zh-CN"/>
        </w:rPr>
        <w:t xml:space="preserve"> </w:t>
      </w:r>
      <w:r>
        <w:rPr>
          <w:sz w:val="21"/>
          <w:szCs w:val="21"/>
        </w:rPr>
        <w:t>填写《武汉工程</w:t>
      </w:r>
      <w:r>
        <w:rPr>
          <w:rFonts w:hint="eastAsia"/>
          <w:sz w:val="21"/>
          <w:szCs w:val="21"/>
        </w:rPr>
        <w:t>大学</w:t>
      </w:r>
      <w:r>
        <w:rPr>
          <w:sz w:val="21"/>
          <w:szCs w:val="21"/>
        </w:rPr>
        <w:t>同等学力申请硕士学位课程培养报名表》；</w:t>
      </w:r>
    </w:p>
    <w:p w14:paraId="34556850">
      <w:pPr>
        <w:pStyle w:val="5"/>
        <w:snapToGrid w:val="0"/>
        <w:spacing w:line="360" w:lineRule="auto"/>
        <w:ind w:firstLine="420" w:firstLineChars="200"/>
        <w:contextualSpacing/>
        <w:rPr>
          <w:sz w:val="21"/>
          <w:szCs w:val="21"/>
        </w:rPr>
      </w:pPr>
      <w:r>
        <w:rPr>
          <w:sz w:val="21"/>
          <w:szCs w:val="21"/>
        </w:rPr>
        <w:t>2. 本科毕业证和学士学位证原件扫描件；</w:t>
      </w:r>
    </w:p>
    <w:p w14:paraId="10FD94F1">
      <w:pPr>
        <w:pStyle w:val="5"/>
        <w:snapToGrid w:val="0"/>
        <w:spacing w:line="360" w:lineRule="auto"/>
        <w:ind w:firstLine="420" w:firstLineChars="200"/>
        <w:contextualSpacing/>
        <w:rPr>
          <w:sz w:val="21"/>
          <w:szCs w:val="21"/>
        </w:rPr>
      </w:pPr>
      <w:r>
        <w:rPr>
          <w:sz w:val="21"/>
          <w:szCs w:val="21"/>
        </w:rPr>
        <w:t>3. 身份证原件及正反面扫描件；</w:t>
      </w:r>
    </w:p>
    <w:p w14:paraId="1517CC0C">
      <w:pPr>
        <w:pStyle w:val="5"/>
        <w:snapToGrid w:val="0"/>
        <w:spacing w:line="360" w:lineRule="auto"/>
        <w:ind w:firstLine="420" w:firstLineChars="200"/>
        <w:contextualSpacing/>
        <w:rPr>
          <w:b/>
          <w:sz w:val="21"/>
          <w:szCs w:val="21"/>
        </w:rPr>
      </w:pPr>
      <w:r>
        <w:rPr>
          <w:sz w:val="21"/>
          <w:szCs w:val="21"/>
        </w:rPr>
        <w:t>4.</w:t>
      </w:r>
      <w:r>
        <w:rPr>
          <w:rFonts w:hint="eastAsia"/>
          <w:sz w:val="21"/>
          <w:szCs w:val="21"/>
          <w:lang w:val="en-US" w:eastAsia="zh-CN"/>
        </w:rPr>
        <w:t xml:space="preserve"> </w:t>
      </w:r>
      <w:r>
        <w:rPr>
          <w:sz w:val="21"/>
          <w:szCs w:val="21"/>
        </w:rPr>
        <w:t>近期正面蓝底两寸数码彩照。</w:t>
      </w:r>
    </w:p>
    <w:p w14:paraId="1C425A4B">
      <w:pPr>
        <w:pStyle w:val="5"/>
        <w:snapToGrid w:val="0"/>
        <w:spacing w:line="360" w:lineRule="auto"/>
        <w:contextualSpacing/>
        <w:rPr>
          <w:b/>
          <w:sz w:val="21"/>
          <w:szCs w:val="21"/>
        </w:rPr>
      </w:pPr>
    </w:p>
    <w:p w14:paraId="2169BB21">
      <w:pPr>
        <w:pStyle w:val="5"/>
        <w:snapToGrid w:val="0"/>
        <w:spacing w:line="360" w:lineRule="auto"/>
        <w:contextualSpacing/>
        <w:rPr>
          <w:b/>
          <w:color w:val="0070C0"/>
          <w:sz w:val="21"/>
          <w:szCs w:val="21"/>
        </w:rPr>
      </w:pPr>
      <w:r>
        <w:rPr>
          <w:rFonts w:hint="eastAsia"/>
          <w:b/>
          <w:color w:val="0070C0"/>
          <w:sz w:val="21"/>
          <w:szCs w:val="21"/>
        </w:rPr>
        <w:t>七</w:t>
      </w:r>
      <w:r>
        <w:rPr>
          <w:b/>
          <w:color w:val="0070C0"/>
          <w:sz w:val="21"/>
          <w:szCs w:val="21"/>
        </w:rPr>
        <w:t>、培养方式</w:t>
      </w:r>
    </w:p>
    <w:p w14:paraId="60DE6C13">
      <w:pPr>
        <w:pStyle w:val="5"/>
        <w:snapToGrid w:val="0"/>
        <w:spacing w:line="360" w:lineRule="auto"/>
        <w:contextualSpacing/>
        <w:rPr>
          <w:sz w:val="21"/>
          <w:szCs w:val="21"/>
        </w:rPr>
      </w:pPr>
      <w:r>
        <w:rPr>
          <w:sz w:val="21"/>
          <w:szCs w:val="21"/>
        </w:rPr>
        <w:t>　　</w:t>
      </w:r>
      <w:r>
        <w:rPr>
          <w:rFonts w:hint="eastAsia"/>
          <w:sz w:val="21"/>
          <w:szCs w:val="21"/>
        </w:rPr>
        <w:t>1.</w:t>
      </w:r>
      <w:r>
        <w:rPr>
          <w:sz w:val="21"/>
          <w:szCs w:val="21"/>
        </w:rPr>
        <w:t>学制：</w:t>
      </w:r>
      <w:r>
        <w:rPr>
          <w:rFonts w:hint="eastAsia"/>
          <w:sz w:val="21"/>
          <w:szCs w:val="21"/>
        </w:rPr>
        <w:t>1-1.5年</w:t>
      </w:r>
      <w:r>
        <w:rPr>
          <w:sz w:val="21"/>
          <w:szCs w:val="21"/>
        </w:rPr>
        <w:t>；</w:t>
      </w:r>
    </w:p>
    <w:p w14:paraId="6B53BE8F">
      <w:pPr>
        <w:pStyle w:val="5"/>
        <w:snapToGrid w:val="0"/>
        <w:spacing w:line="360" w:lineRule="auto"/>
        <w:ind w:firstLine="420" w:firstLineChars="200"/>
        <w:contextualSpacing/>
        <w:rPr>
          <w:sz w:val="21"/>
          <w:szCs w:val="21"/>
        </w:rPr>
      </w:pPr>
      <w:r>
        <w:rPr>
          <w:sz w:val="21"/>
          <w:szCs w:val="21"/>
        </w:rPr>
        <w:t>2</w:t>
      </w:r>
      <w:r>
        <w:rPr>
          <w:rFonts w:hint="eastAsia"/>
          <w:sz w:val="21"/>
          <w:szCs w:val="21"/>
        </w:rPr>
        <w:t>.面</w:t>
      </w:r>
      <w:r>
        <w:rPr>
          <w:sz w:val="21"/>
          <w:szCs w:val="21"/>
        </w:rPr>
        <w:t>授课：双休日授课，由武汉工程大学硕士生导师和博士生导师面授</w:t>
      </w:r>
      <w:r>
        <w:rPr>
          <w:rFonts w:hint="eastAsia"/>
          <w:sz w:val="21"/>
          <w:szCs w:val="21"/>
        </w:rPr>
        <w:t>；</w:t>
      </w:r>
    </w:p>
    <w:p w14:paraId="21F92C2E">
      <w:pPr>
        <w:pStyle w:val="5"/>
        <w:snapToGrid w:val="0"/>
        <w:spacing w:line="360" w:lineRule="auto"/>
        <w:ind w:firstLine="420" w:firstLineChars="200"/>
        <w:contextualSpacing/>
        <w:rPr>
          <w:sz w:val="21"/>
          <w:szCs w:val="21"/>
        </w:rPr>
      </w:pPr>
      <w:r>
        <w:rPr>
          <w:sz w:val="21"/>
          <w:szCs w:val="21"/>
        </w:rPr>
        <w:t>3</w:t>
      </w:r>
      <w:r>
        <w:rPr>
          <w:rFonts w:hint="eastAsia"/>
          <w:sz w:val="21"/>
          <w:szCs w:val="21"/>
        </w:rPr>
        <w:t>.网络课：异地学员</w:t>
      </w:r>
      <w:r>
        <w:rPr>
          <w:sz w:val="21"/>
          <w:szCs w:val="21"/>
        </w:rPr>
        <w:t>可进行网络课程学习，</w:t>
      </w:r>
      <w:r>
        <w:rPr>
          <w:rFonts w:hint="eastAsia"/>
          <w:sz w:val="21"/>
          <w:szCs w:val="21"/>
        </w:rPr>
        <w:t>不受</w:t>
      </w:r>
      <w:r>
        <w:rPr>
          <w:sz w:val="21"/>
          <w:szCs w:val="21"/>
        </w:rPr>
        <w:t>时间</w:t>
      </w:r>
      <w:r>
        <w:rPr>
          <w:rFonts w:hint="eastAsia"/>
          <w:sz w:val="21"/>
          <w:szCs w:val="21"/>
        </w:rPr>
        <w:t>、</w:t>
      </w:r>
      <w:r>
        <w:rPr>
          <w:sz w:val="21"/>
          <w:szCs w:val="21"/>
        </w:rPr>
        <w:t>地址限制。</w:t>
      </w:r>
    </w:p>
    <w:p w14:paraId="6BF1F898">
      <w:pPr>
        <w:pStyle w:val="5"/>
        <w:snapToGrid w:val="0"/>
        <w:spacing w:line="360" w:lineRule="auto"/>
        <w:ind w:firstLine="420" w:firstLineChars="200"/>
        <w:contextualSpacing/>
        <w:rPr>
          <w:sz w:val="21"/>
          <w:szCs w:val="21"/>
        </w:rPr>
      </w:pPr>
    </w:p>
    <w:p w14:paraId="75D191B5">
      <w:pPr>
        <w:pStyle w:val="5"/>
        <w:numPr>
          <w:ilvl w:val="0"/>
          <w:numId w:val="1"/>
        </w:numPr>
        <w:snapToGrid w:val="0"/>
        <w:spacing w:line="360" w:lineRule="auto"/>
        <w:contextualSpacing/>
        <w:rPr>
          <w:b/>
          <w:color w:val="0070C0"/>
          <w:sz w:val="21"/>
          <w:szCs w:val="21"/>
        </w:rPr>
      </w:pPr>
      <w:r>
        <w:rPr>
          <w:rFonts w:hint="eastAsia"/>
          <w:b/>
          <w:color w:val="0070C0"/>
          <w:sz w:val="21"/>
          <w:szCs w:val="21"/>
        </w:rPr>
        <w:t>收费标准</w:t>
      </w:r>
    </w:p>
    <w:p w14:paraId="1653FE21">
      <w:pPr>
        <w:pStyle w:val="5"/>
        <w:snapToGrid w:val="0"/>
        <w:spacing w:line="360" w:lineRule="auto"/>
        <w:ind w:firstLine="420" w:firstLineChars="200"/>
        <w:contextualSpacing/>
        <w:rPr>
          <w:rFonts w:hint="eastAsia"/>
          <w:color w:val="auto"/>
          <w:sz w:val="21"/>
          <w:szCs w:val="21"/>
          <w:lang w:val="en-US" w:eastAsia="zh-CN"/>
        </w:rPr>
      </w:pPr>
      <w:r>
        <w:rPr>
          <w:rFonts w:hint="eastAsia"/>
          <w:color w:val="auto"/>
          <w:sz w:val="21"/>
          <w:szCs w:val="21"/>
          <w:lang w:val="en-US" w:eastAsia="zh-CN"/>
        </w:rPr>
        <w:t>学费20000，论文答辩费12000</w:t>
      </w:r>
    </w:p>
    <w:p w14:paraId="79664CCF">
      <w:pPr>
        <w:pStyle w:val="5"/>
        <w:snapToGrid w:val="0"/>
        <w:spacing w:line="360" w:lineRule="auto"/>
        <w:ind w:firstLine="420" w:firstLineChars="200"/>
        <w:contextualSpacing/>
        <w:rPr>
          <w:rFonts w:hint="default"/>
          <w:color w:val="FF0000"/>
          <w:sz w:val="21"/>
          <w:szCs w:val="21"/>
          <w:lang w:val="en-US" w:eastAsia="zh-CN"/>
        </w:rPr>
      </w:pPr>
    </w:p>
    <w:p w14:paraId="704A385C">
      <w:pPr>
        <w:pStyle w:val="5"/>
        <w:snapToGrid w:val="0"/>
        <w:spacing w:line="360" w:lineRule="auto"/>
        <w:contextualSpacing/>
        <w:rPr>
          <w:b/>
          <w:color w:val="0070C0"/>
          <w:sz w:val="21"/>
          <w:szCs w:val="21"/>
        </w:rPr>
      </w:pPr>
      <w:r>
        <w:rPr>
          <w:rFonts w:hint="eastAsia"/>
          <w:b/>
          <w:color w:val="0070C0"/>
          <w:sz w:val="21"/>
          <w:szCs w:val="21"/>
        </w:rPr>
        <w:t>九</w:t>
      </w:r>
      <w:r>
        <w:rPr>
          <w:b/>
          <w:color w:val="0070C0"/>
          <w:sz w:val="21"/>
          <w:szCs w:val="21"/>
        </w:rPr>
        <w:t>、</w:t>
      </w:r>
      <w:r>
        <w:rPr>
          <w:rFonts w:hint="eastAsia"/>
          <w:b/>
          <w:color w:val="0070C0"/>
          <w:sz w:val="21"/>
          <w:szCs w:val="21"/>
        </w:rPr>
        <w:t>获取证书</w:t>
      </w:r>
    </w:p>
    <w:p w14:paraId="6D64EBB5">
      <w:pPr>
        <w:pStyle w:val="5"/>
        <w:snapToGrid w:val="0"/>
        <w:spacing w:line="360" w:lineRule="auto"/>
        <w:ind w:firstLine="420" w:firstLineChars="200"/>
        <w:contextualSpacing/>
        <w:rPr>
          <w:sz w:val="21"/>
          <w:szCs w:val="21"/>
        </w:rPr>
      </w:pPr>
      <w:r>
        <w:rPr>
          <w:sz w:val="21"/>
          <w:szCs w:val="21"/>
        </w:rPr>
        <w:t>1.通过学校组织的学位课程考试，成绩合格者，可通过所在学院向研究生院申请领取《武汉工程大学同等学力人员申请硕士学位成绩合格证》</w:t>
      </w:r>
      <w:r>
        <w:rPr>
          <w:rFonts w:hint="eastAsia"/>
          <w:sz w:val="21"/>
          <w:szCs w:val="21"/>
        </w:rPr>
        <w:t>；</w:t>
      </w:r>
    </w:p>
    <w:p w14:paraId="2021E04F">
      <w:pPr>
        <w:pStyle w:val="5"/>
        <w:snapToGrid w:val="0"/>
        <w:spacing w:line="360" w:lineRule="auto"/>
        <w:ind w:firstLine="420"/>
        <w:contextualSpacing/>
        <w:rPr>
          <w:sz w:val="21"/>
          <w:szCs w:val="21"/>
        </w:rPr>
      </w:pPr>
      <w:r>
        <w:rPr>
          <w:sz w:val="21"/>
          <w:szCs w:val="21"/>
        </w:rPr>
        <w:t>2.</w:t>
      </w:r>
      <w:r>
        <w:rPr>
          <w:rFonts w:hint="eastAsia"/>
          <w:sz w:val="21"/>
          <w:szCs w:val="21"/>
        </w:rPr>
        <w:t>学员满足条件</w:t>
      </w:r>
      <w:r>
        <w:rPr>
          <w:sz w:val="21"/>
          <w:szCs w:val="21"/>
        </w:rPr>
        <w:t>参加</w:t>
      </w:r>
      <w:r>
        <w:rPr>
          <w:rFonts w:hint="eastAsia"/>
          <w:sz w:val="21"/>
          <w:szCs w:val="21"/>
        </w:rPr>
        <w:t>申硕</w:t>
      </w:r>
      <w:r>
        <w:rPr>
          <w:sz w:val="21"/>
          <w:szCs w:val="21"/>
        </w:rPr>
        <w:t>考试成绩合格并通过硕士学位论文答辩，并经武汉工程大学学位评定委员会审议，授予武汉工程大学工程专业硕士学位证书。</w:t>
      </w:r>
    </w:p>
    <w:p w14:paraId="1640AE8D">
      <w:pPr>
        <w:pStyle w:val="5"/>
        <w:snapToGrid w:val="0"/>
        <w:spacing w:line="360" w:lineRule="auto"/>
        <w:contextualSpacing/>
        <w:rPr>
          <w:sz w:val="21"/>
          <w:szCs w:val="21"/>
        </w:rPr>
      </w:pPr>
    </w:p>
    <w:p w14:paraId="676EED25">
      <w:pPr>
        <w:pStyle w:val="5"/>
        <w:snapToGrid w:val="0"/>
        <w:spacing w:line="360" w:lineRule="auto"/>
        <w:ind w:firstLine="480" w:firstLineChars="200"/>
        <w:contextualSpacing/>
      </w:pPr>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E3A54">
    <w:pPr>
      <w:pStyle w:val="4"/>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4110990" cy="4104005"/>
          <wp:effectExtent l="0" t="0" r="3810" b="10795"/>
          <wp:wrapNone/>
          <wp:docPr id="1" name="WordPictureWatermark448256048"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48256048" descr="123"/>
                  <pic:cNvPicPr>
                    <a:picLocks noChangeAspect="1"/>
                  </pic:cNvPicPr>
                </pic:nvPicPr>
                <pic:blipFill>
                  <a:blip r:embed="rId1">
                    <a:lum bright="70001" contrast="-70000"/>
                  </a:blip>
                  <a:stretch>
                    <a:fillRect/>
                  </a:stretch>
                </pic:blipFill>
                <pic:spPr>
                  <a:xfrm>
                    <a:off x="0" y="0"/>
                    <a:ext cx="4110990" cy="410400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63778">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4110990" cy="4104005"/>
          <wp:effectExtent l="0" t="0" r="3810" b="10795"/>
          <wp:wrapNone/>
          <wp:docPr id="2" name="WordPictureWatermark448256047"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48256047" descr="123"/>
                  <pic:cNvPicPr>
                    <a:picLocks noChangeAspect="1"/>
                  </pic:cNvPicPr>
                </pic:nvPicPr>
                <pic:blipFill>
                  <a:blip r:embed="rId1">
                    <a:lum bright="70001" contrast="-70000"/>
                  </a:blip>
                  <a:stretch>
                    <a:fillRect/>
                  </a:stretch>
                </pic:blipFill>
                <pic:spPr>
                  <a:xfrm>
                    <a:off x="0" y="0"/>
                    <a:ext cx="4110990" cy="410400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9776A">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4110990" cy="4104005"/>
          <wp:effectExtent l="0" t="0" r="3810" b="10795"/>
          <wp:wrapNone/>
          <wp:docPr id="3" name="WordPictureWatermark448256046"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48256046" descr="123"/>
                  <pic:cNvPicPr>
                    <a:picLocks noChangeAspect="1"/>
                  </pic:cNvPicPr>
                </pic:nvPicPr>
                <pic:blipFill>
                  <a:blip r:embed="rId1">
                    <a:lum bright="70001" contrast="-70000"/>
                  </a:blip>
                  <a:stretch>
                    <a:fillRect/>
                  </a:stretch>
                </pic:blipFill>
                <pic:spPr>
                  <a:xfrm>
                    <a:off x="0" y="0"/>
                    <a:ext cx="4110990" cy="410400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F1A48"/>
    <w:multiLevelType w:val="multilevel"/>
    <w:tmpl w:val="06AF1A48"/>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66A61DC4"/>
    <w:rsid w:val="001520B1"/>
    <w:rsid w:val="00221C2A"/>
    <w:rsid w:val="003677B1"/>
    <w:rsid w:val="004F5415"/>
    <w:rsid w:val="00542D66"/>
    <w:rsid w:val="005965D0"/>
    <w:rsid w:val="005A7876"/>
    <w:rsid w:val="005B41E8"/>
    <w:rsid w:val="00634D12"/>
    <w:rsid w:val="007B4689"/>
    <w:rsid w:val="00855B3A"/>
    <w:rsid w:val="009C70A4"/>
    <w:rsid w:val="00A15FBC"/>
    <w:rsid w:val="00B55550"/>
    <w:rsid w:val="00DD7196"/>
    <w:rsid w:val="00E01B0F"/>
    <w:rsid w:val="00F938A7"/>
    <w:rsid w:val="0BB2614A"/>
    <w:rsid w:val="2404011A"/>
    <w:rsid w:val="2FD613FB"/>
    <w:rsid w:val="32D15826"/>
    <w:rsid w:val="4A054B95"/>
    <w:rsid w:val="5B4104AF"/>
    <w:rsid w:val="5FEE5B40"/>
    <w:rsid w:val="66A61DC4"/>
    <w:rsid w:val="680A4478"/>
    <w:rsid w:val="6DF53895"/>
    <w:rsid w:val="6F1944AA"/>
    <w:rsid w:val="75B52F0D"/>
    <w:rsid w:val="79334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autoRedefine/>
    <w:semiHidden/>
    <w:unhideWhenUsed/>
    <w:qFormat/>
    <w:uiPriority w:val="99"/>
    <w:pPr>
      <w:tabs>
        <w:tab w:val="center" w:pos="4153"/>
        <w:tab w:val="right" w:pos="8306"/>
      </w:tabs>
      <w:snapToGrid w:val="0"/>
      <w:jc w:val="left"/>
    </w:pPr>
    <w:rPr>
      <w:sz w:val="18"/>
      <w:szCs w:val="18"/>
    </w:rPr>
  </w:style>
  <w:style w:type="paragraph" w:styleId="4">
    <w:name w:val="header"/>
    <w:basedOn w:val="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List Paragraph"/>
    <w:basedOn w:val="1"/>
    <w:autoRedefine/>
    <w:qFormat/>
    <w:uiPriority w:val="34"/>
    <w:pPr>
      <w:ind w:firstLine="420" w:firstLineChars="200"/>
    </w:pPr>
  </w:style>
  <w:style w:type="character" w:customStyle="1" w:styleId="9">
    <w:name w:val="批注框文本 Char"/>
    <w:basedOn w:val="7"/>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1640</Words>
  <Characters>1699</Characters>
  <Lines>11</Lines>
  <Paragraphs>3</Paragraphs>
  <TotalTime>4</TotalTime>
  <ScaleCrop>false</ScaleCrop>
  <LinksUpToDate>false</LinksUpToDate>
  <CharactersWithSpaces>1717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2021-04-15T06:01:00Z</dcterms:created>
  <dc:creator>读研MBA-言言</dc:creator>
  <cp:lastModifiedBy>Administrator</cp:lastModifiedBy>
  <dcterms:modified xsi:type="dcterms:W3CDTF">2026-01-15T03:43:20Z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51F33C02220748A1B82BAD9D23DA5D39</vt:lpwstr>
  </property>
  <property fmtid="{D5CDD505-2E9C-101B-9397-08002B2CF9AE}" pid="4" name="KSOTemplateDocerSaveRecord">
    <vt:lpwstr>eyJoZGlkIjoiMjJkYmYyOGQwNjU2YTFjYjBlYWQzZDdlZjc2Nzk1ZWYifQ==</vt:lpwstr>
  </property>
</Properties>
</file>