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default" w:asciiTheme="minorEastAsia" w:hAnsiTheme="minorEastAsia" w:eastAsiaTheme="minorEastAsia" w:cstheme="minorEastAsia"/>
          <w:b/>
          <w:bCs/>
          <w:sz w:val="36"/>
          <w:szCs w:val="36"/>
          <w:lang w:val="en-US"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中药学专业</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招生简章（学术型硕士学位）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74857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color w:val="auto"/>
          <w:sz w:val="24"/>
          <w:szCs w:val="24"/>
        </w:rPr>
        <w:t>学校拥有直属附属医院3所，非直属附属医院9所，设有教育教学机构18个。学校图书馆拥有纸本图书181.63万册，电子图书162.41万册。学校现有专任教师1257人，其中具有高级职称的教师占48.4%，具有硕士、博士学位的教师占88.83%‌</w:t>
      </w:r>
      <w:r>
        <w:rPr>
          <w:rFonts w:hint="eastAsia" w:ascii="宋体" w:hAnsi="宋体" w:eastAsia="宋体" w:cs="宋体"/>
          <w:color w:val="auto"/>
          <w:sz w:val="24"/>
          <w:szCs w:val="24"/>
          <w:lang w:eastAsia="zh-CN"/>
        </w:rPr>
        <w:t>。</w:t>
      </w:r>
    </w:p>
    <w:p w14:paraId="5E6EA2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rPr>
      </w:pPr>
      <w:r>
        <w:rPr>
          <w:rFonts w:ascii="宋体" w:hAnsi="宋体" w:eastAsia="宋体" w:cs="宋体"/>
          <w:color w:val="auto"/>
          <w:sz w:val="24"/>
          <w:szCs w:val="24"/>
        </w:rPr>
        <w:t>为进一步促进中医药文化宣传推广，学院制定了《江西中医药大学药学院中医药文化传播行动实施办法（试行）》，专门成立工作领导小组，保障工作的顺利进行。为进一步开展在中小学中医药文化推广传播行动，与南昌市第十六中学共建中医药文化宣传教育基地，陆续为十六中师生带来《看病，究竟看什么？》《药，该怎么用》《中药与中药资源》和《采好药</w:t>
      </w:r>
      <w:r>
        <w:rPr>
          <w:rFonts w:hint="default" w:ascii="宋体" w:hAnsi="宋体" w:eastAsia="宋体" w:cs="宋体"/>
          <w:color w:val="auto"/>
          <w:sz w:val="24"/>
          <w:szCs w:val="24"/>
        </w:rPr>
        <w:t xml:space="preserve"> 制好药》等课程。下一步，药学院将结合实际，继续推动中医药文化进校园、进社区、进农村等工作，把中弘扬和传播医药文化作为推动中医药强省和中医药事业振兴发展的一项重要工作。</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为培养更多医学领域人才。江西中医药大学决定面向全国开设中药学专</w:t>
      </w:r>
      <w:r>
        <w:rPr>
          <w:rFonts w:hint="eastAsia" w:ascii="宋体" w:hAnsi="宋体" w:eastAsia="宋体" w:cs="宋体"/>
          <w:i w:val="0"/>
          <w:iCs w:val="0"/>
          <w:caps w:val="0"/>
          <w:color w:val="000000"/>
          <w:spacing w:val="0"/>
          <w:sz w:val="24"/>
          <w:szCs w:val="24"/>
          <w:shd w:val="clear" w:fill="FFFFFF"/>
        </w:rPr>
        <w:t>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w:t>
      </w:r>
      <w:r>
        <w:rPr>
          <w:rFonts w:ascii="宋体" w:hAnsi="宋体" w:eastAsia="宋体" w:cs="宋体"/>
          <w:sz w:val="24"/>
          <w:szCs w:val="24"/>
        </w:rPr>
        <w:t>培养适应社会主义现代化建设和中医药事业发展需要的人才，具备中医药学基础理论、基本知识、基本技能以及中医药思维和现代科学思维等方面的知识和能力‌。‌</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发展</w:t>
      </w:r>
      <w:r>
        <w:rPr>
          <w:rFonts w:hint="eastAsia" w:cs="宋体" w:asciiTheme="minorEastAsia" w:hAnsiTheme="minorEastAsia"/>
          <w:sz w:val="24"/>
        </w:rPr>
        <w:t>】</w:t>
      </w:r>
      <w:r>
        <w:rPr>
          <w:rFonts w:ascii="宋体" w:hAnsi="宋体" w:eastAsia="宋体" w:cs="宋体"/>
          <w:sz w:val="24"/>
          <w:szCs w:val="24"/>
        </w:rPr>
        <w:t>药学院提出了“创建国内一流药学院”的宏伟目标，并围绕这一目标，在人才培养、学科建设、科学研究、社会服务等方面精心设计、谋篇布局，为实现药学院新一轮跨越式发展奠定了基础。</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全国统考仅考英语1门</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numPr>
          <w:ilvl w:val="0"/>
          <w:numId w:val="0"/>
        </w:numPr>
        <w:spacing w:line="360" w:lineRule="auto"/>
        <w:ind w:leftChars="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p w14:paraId="75EBD66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5A2D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442270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b/>
                <w:bCs/>
                <w:color w:val="000000" w:themeColor="text1"/>
                <w:sz w:val="24"/>
                <w:lang w:val="en-US" w:eastAsia="zh-CN"/>
                <w14:textFill>
                  <w14:solidFill>
                    <w14:schemeClr w14:val="tx1"/>
                  </w14:solidFill>
                </w14:textFill>
              </w:rPr>
              <w:t>中药学</w:t>
            </w:r>
            <w:r>
              <w:rPr>
                <w:rFonts w:hint="eastAsia" w:eastAsia="宋体" w:cs="微软雅黑"/>
                <w:b/>
                <w:bCs/>
                <w:color w:val="000000"/>
                <w:sz w:val="24"/>
                <w:szCs w:val="24"/>
                <w:lang w:val="en-US" w:eastAsia="zh-CN" w:bidi="ar"/>
              </w:rPr>
              <w:t>专业课程设置</w:t>
            </w:r>
          </w:p>
        </w:tc>
      </w:tr>
      <w:tr w14:paraId="65F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7C97AC">
            <w:pPr>
              <w:rPr>
                <w:rFonts w:hint="eastAsia" w:eastAsia="宋体" w:cs="微软雅黑"/>
                <w:b/>
                <w:bCs/>
                <w:color w:val="000000"/>
                <w:sz w:val="21"/>
                <w:szCs w:val="21"/>
                <w:lang w:val="en-US" w:eastAsia="zh-CN" w:bidi="ar"/>
              </w:rPr>
            </w:pPr>
          </w:p>
          <w:p w14:paraId="74A6D229">
            <w:pPr>
              <w:rPr>
                <w:rFonts w:hint="eastAsia" w:eastAsia="宋体" w:cs="微软雅黑"/>
                <w:b/>
                <w:bCs/>
                <w:color w:val="000000"/>
                <w:sz w:val="21"/>
                <w:szCs w:val="21"/>
                <w:lang w:val="en-US" w:eastAsia="zh-CN" w:bidi="ar"/>
              </w:rPr>
            </w:pPr>
          </w:p>
          <w:p w14:paraId="1147776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2932F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869980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744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A66884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24868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英语</w:t>
            </w:r>
          </w:p>
        </w:tc>
        <w:tc>
          <w:tcPr>
            <w:tcW w:w="3472" w:type="dxa"/>
            <w:noWrap w:val="0"/>
            <w:vAlign w:val="top"/>
          </w:tcPr>
          <w:p w14:paraId="7281902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专业英语</w:t>
            </w:r>
          </w:p>
        </w:tc>
      </w:tr>
      <w:tr w14:paraId="2B2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138FF41">
            <w:pPr>
              <w:rPr>
                <w:rFonts w:hint="eastAsia" w:eastAsia="宋体" w:cs="微软雅黑"/>
                <w:b w:val="0"/>
                <w:color w:val="000000"/>
                <w:sz w:val="21"/>
                <w:szCs w:val="21"/>
                <w:lang w:val="en-US" w:eastAsia="zh-CN" w:bidi="ar"/>
              </w:rPr>
            </w:pPr>
          </w:p>
          <w:p w14:paraId="3256C11E">
            <w:pPr>
              <w:ind w:firstLine="211" w:firstLineChars="100"/>
              <w:rPr>
                <w:rFonts w:hint="eastAsia" w:eastAsia="宋体" w:cs="微软雅黑"/>
                <w:b/>
                <w:bCs/>
                <w:color w:val="000000"/>
                <w:sz w:val="21"/>
                <w:szCs w:val="21"/>
                <w:lang w:val="en-US" w:eastAsia="zh-CN" w:bidi="ar"/>
              </w:rPr>
            </w:pPr>
          </w:p>
          <w:p w14:paraId="1A0AC04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11926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中药化学导论</w:t>
            </w:r>
          </w:p>
        </w:tc>
        <w:tc>
          <w:tcPr>
            <w:tcW w:w="3472" w:type="dxa"/>
            <w:noWrap w:val="0"/>
            <w:vAlign w:val="top"/>
          </w:tcPr>
          <w:p w14:paraId="689642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中药新药研究与开发</w:t>
            </w:r>
          </w:p>
        </w:tc>
      </w:tr>
      <w:tr w14:paraId="175D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C02971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63F079B">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中药药性学专论</w:t>
            </w:r>
          </w:p>
        </w:tc>
        <w:tc>
          <w:tcPr>
            <w:tcW w:w="3472" w:type="dxa"/>
            <w:noWrap w:val="0"/>
            <w:vAlign w:val="top"/>
          </w:tcPr>
          <w:p w14:paraId="3D671B23">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中药质量分析与评价</w:t>
            </w:r>
          </w:p>
        </w:tc>
      </w:tr>
      <w:tr w14:paraId="3103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318D9E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0782C1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动物实验与技能</w:t>
            </w:r>
          </w:p>
        </w:tc>
        <w:tc>
          <w:tcPr>
            <w:tcW w:w="3472" w:type="dxa"/>
            <w:noWrap w:val="0"/>
            <w:vAlign w:val="top"/>
          </w:tcPr>
          <w:p w14:paraId="0E371D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创新创业指导</w:t>
            </w:r>
          </w:p>
        </w:tc>
      </w:tr>
      <w:tr w14:paraId="75F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AC62B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B0A77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319BD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药物分析选论</w:t>
            </w:r>
          </w:p>
        </w:tc>
      </w:tr>
      <w:tr w14:paraId="6A4F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4E5D798">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8E542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波谱解析</w:t>
            </w:r>
          </w:p>
        </w:tc>
        <w:tc>
          <w:tcPr>
            <w:tcW w:w="3472" w:type="dxa"/>
            <w:noWrap w:val="0"/>
            <w:vAlign w:val="top"/>
          </w:tcPr>
          <w:p w14:paraId="310AE7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中药资源学</w:t>
            </w:r>
          </w:p>
        </w:tc>
      </w:tr>
    </w:tbl>
    <w:p w14:paraId="523A7031">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43E8761A">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6D56B384">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1"/>
      </w:pPr>
      <w:r>
        <w:t>窗体顶端</w:t>
      </w:r>
    </w:p>
    <w:p w14:paraId="3A799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762C6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已获得学士学位，并在获得学士学位后工作三年以上；或无学士学位但已获得硕士或博士学位；或通过教育部留学服务中心认证的国（境）外学士、硕士或博士学位获得者。</w:t>
      </w:r>
    </w:p>
    <w:p w14:paraId="22BFF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身体健康，年龄一般不超过45周岁。</w:t>
      </w:r>
    </w:p>
    <w:p w14:paraId="7ECB6CDF">
      <w:pPr>
        <w:pStyle w:val="12"/>
      </w:pPr>
      <w:r>
        <w:t>窗体底端</w:t>
      </w: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w:t>
      </w:r>
      <w:bookmarkStart w:id="0" w:name="_GoBack"/>
      <w:bookmarkEnd w:id="0"/>
      <w:r>
        <w:rPr>
          <w:rFonts w:hint="eastAsia" w:asciiTheme="minorEastAsia" w:hAnsiTheme="minorEastAsia" w:eastAsiaTheme="minorEastAsia" w:cstheme="minorEastAsia"/>
          <w:kern w:val="0"/>
          <w:sz w:val="24"/>
          <w:szCs w:val="24"/>
          <w:lang w:val="en-US" w:eastAsia="zh-CN" w:bidi="ar-SA"/>
        </w:rPr>
        <w:t>士学位。</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6163BD1"/>
    <w:rsid w:val="084C7436"/>
    <w:rsid w:val="0A742C74"/>
    <w:rsid w:val="10157736"/>
    <w:rsid w:val="1840688C"/>
    <w:rsid w:val="188350F6"/>
    <w:rsid w:val="1B7238CA"/>
    <w:rsid w:val="1DF9312D"/>
    <w:rsid w:val="202A58A0"/>
    <w:rsid w:val="26A5092E"/>
    <w:rsid w:val="27C070A1"/>
    <w:rsid w:val="2ACA3792"/>
    <w:rsid w:val="2F522D60"/>
    <w:rsid w:val="357940C4"/>
    <w:rsid w:val="379279A1"/>
    <w:rsid w:val="38814FC6"/>
    <w:rsid w:val="3C3519B4"/>
    <w:rsid w:val="3E9B7303"/>
    <w:rsid w:val="43686B13"/>
    <w:rsid w:val="472E597E"/>
    <w:rsid w:val="478A78E0"/>
    <w:rsid w:val="480A1F47"/>
    <w:rsid w:val="48FA0154"/>
    <w:rsid w:val="501F754E"/>
    <w:rsid w:val="519758C5"/>
    <w:rsid w:val="58562F86"/>
    <w:rsid w:val="58CD3A78"/>
    <w:rsid w:val="5AFA5E4B"/>
    <w:rsid w:val="5D156F6C"/>
    <w:rsid w:val="5F5D6357"/>
    <w:rsid w:val="608508AD"/>
    <w:rsid w:val="71D42E9C"/>
    <w:rsid w:val="741E6BF6"/>
    <w:rsid w:val="77C90C27"/>
    <w:rsid w:val="78B6524A"/>
    <w:rsid w:val="7AD3663F"/>
    <w:rsid w:val="7ADA0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 w:type="paragraph" w:customStyle="1" w:styleId="11">
    <w:name w:val="_Style 10"/>
    <w:basedOn w:val="1"/>
    <w:next w:val="1"/>
    <w:qFormat/>
    <w:uiPriority w:val="0"/>
    <w:pPr>
      <w:pBdr>
        <w:bottom w:val="single" w:color="auto" w:sz="6" w:space="1"/>
      </w:pBdr>
      <w:jc w:val="center"/>
    </w:pPr>
    <w:rPr>
      <w:rFonts w:ascii="Arial" w:eastAsia="宋体"/>
      <w:vanish/>
      <w:sz w:val="16"/>
    </w:rPr>
  </w:style>
  <w:style w:type="paragraph" w:customStyle="1" w:styleId="12">
    <w:name w:val="_Style 11"/>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1537</Words>
  <Characters>1590</Characters>
  <Lines>0</Lines>
  <Paragraphs>0</Paragraphs>
  <TotalTime>10</TotalTime>
  <ScaleCrop>false</ScaleCrop>
  <LinksUpToDate>false</LinksUpToDate>
  <CharactersWithSpaces>1591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