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E7FF4">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5273675" cy="1640840"/>
            <wp:effectExtent l="0" t="0" r="3175" b="1651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73675" cy="1640840"/>
                    </a:xfrm>
                    <a:prstGeom prst="rect">
                      <a:avLst/>
                    </a:prstGeom>
                    <a:noFill/>
                    <a:ln>
                      <a:noFill/>
                    </a:ln>
                  </pic:spPr>
                </pic:pic>
              </a:graphicData>
            </a:graphic>
          </wp:inline>
        </w:drawing>
      </w:r>
    </w:p>
    <w:p w14:paraId="4CA42236">
      <w:pPr>
        <w:jc w:val="center"/>
        <w:rPr>
          <w:rFonts w:hint="eastAsia" w:asciiTheme="minorEastAsia" w:hAnsiTheme="minorEastAsia" w:eastAsiaTheme="minorEastAsia" w:cstheme="minorEastAsia"/>
          <w:b/>
          <w:bCs/>
          <w:sz w:val="36"/>
          <w:szCs w:val="36"/>
          <w:lang w:eastAsia="zh-CN"/>
        </w:rPr>
      </w:pPr>
      <w:r>
        <w:rPr>
          <w:rFonts w:hint="eastAsia" w:asciiTheme="minorEastAsia" w:hAnsiTheme="minorEastAsia" w:cstheme="minorEastAsia"/>
          <w:b/>
          <w:bCs/>
          <w:sz w:val="36"/>
          <w:szCs w:val="36"/>
        </w:rPr>
        <w:t>同等学力申请硕士学位</w:t>
      </w:r>
      <w:r>
        <w:rPr>
          <w:rFonts w:hint="eastAsia" w:asciiTheme="minorEastAsia" w:hAnsiTheme="minorEastAsia" w:cstheme="minorEastAsia"/>
          <w:b/>
          <w:bCs/>
          <w:sz w:val="36"/>
          <w:szCs w:val="36"/>
          <w:lang w:val="en-US" w:eastAsia="zh-CN"/>
        </w:rPr>
        <w:t>药学学科</w:t>
      </w:r>
    </w:p>
    <w:p w14:paraId="5CA19DF4">
      <w:pPr>
        <w:tabs>
          <w:tab w:val="left" w:pos="2820"/>
        </w:tabs>
        <w:spacing w:line="360" w:lineRule="auto"/>
        <w:ind w:firstLine="1807" w:firstLineChars="500"/>
        <w:contextualSpacing/>
        <w:jc w:val="left"/>
        <w:rPr>
          <w:rFonts w:cs="宋体" w:asciiTheme="minorEastAsia" w:hAnsiTheme="minorEastAsia"/>
          <w:sz w:val="24"/>
        </w:rPr>
      </w:pPr>
      <w:r>
        <w:rPr>
          <w:rFonts w:hint="eastAsia" w:asciiTheme="minorEastAsia" w:hAnsiTheme="minorEastAsia" w:cstheme="minorEastAsia"/>
          <w:b/>
          <w:bCs/>
          <w:sz w:val="36"/>
          <w:szCs w:val="36"/>
        </w:rPr>
        <w:t>招生简章（学术型硕士学位）</w:t>
      </w:r>
    </w:p>
    <w:p w14:paraId="0A34DDE2">
      <w:pPr>
        <w:spacing w:line="360" w:lineRule="auto"/>
        <w:contextualSpacing/>
        <w:jc w:val="left"/>
        <w:rPr>
          <w:rFonts w:hint="eastAsia" w:cs="宋体" w:asciiTheme="minorEastAsia" w:hAnsiTheme="minorEastAsia"/>
          <w:b/>
          <w:bCs/>
          <w:color w:val="000000" w:themeColor="text1"/>
          <w:sz w:val="24"/>
          <w14:textFill>
            <w14:solidFill>
              <w14:schemeClr w14:val="tx1"/>
            </w14:solidFill>
          </w14:textFill>
        </w:rPr>
      </w:pPr>
    </w:p>
    <w:p w14:paraId="0584A1F5">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7533D0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sz w:val="24"/>
          <w:szCs w:val="24"/>
        </w:rPr>
        <w:t>江西中医药大学的前身可以追溯到1951年</w:t>
      </w:r>
      <w:r>
        <w:rPr>
          <w:rFonts w:ascii="宋体" w:hAnsi="宋体" w:eastAsia="宋体" w:cs="宋体"/>
          <w:color w:val="auto"/>
          <w:sz w:val="24"/>
          <w:szCs w:val="24"/>
        </w:rPr>
        <w:t>创办的</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8%8D%AF%E7%A7%91%E5%AD%A6%E6%A0%A1&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1"/>
          <w:rFonts w:ascii="宋体" w:hAnsi="宋体" w:eastAsia="宋体" w:cs="宋体"/>
          <w:color w:val="auto"/>
          <w:sz w:val="24"/>
          <w:szCs w:val="24"/>
          <w:u w:val="none"/>
        </w:rPr>
        <w:t>江西药科学校</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和1953年创办的江西中医进修学校。1959年成立</w:t>
      </w: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https://www.baidu.com/s?rsv_dl=re_dqa_generate&amp;sa=re_dqa_generate&amp;wd=%E6%B1%9F%E8%A5%BF%E4%B8%AD%E5%8C%BB%E5%AD%A6%E9%99%A2&amp;rsv_pq=f71077190557fc39&amp;oq=%E6%B1%9F%E8%A5%BF%E4%B8%AD%E5%8C%BB%E8%8D%AF%E5%A4%A7%E5%AD%A6%E4%B8%AD%E5%8C%BB%E8%8D%AF%E9%99%A2%E6%A0%A1%E7%AE%80%E4%BB%8B&amp;rsv_t=068ehIKwQWcl4Qh88x6j4WPToCQ4u6zWCGNZ8muHpZeUKyIrAPiVv5ZusPM&amp;tn=baidu&amp;ie=utf-8" \t "https://www.baidu.com/_blank" </w:instrText>
      </w:r>
      <w:r>
        <w:rPr>
          <w:rFonts w:ascii="宋体" w:hAnsi="宋体" w:eastAsia="宋体" w:cs="宋体"/>
          <w:color w:val="auto"/>
          <w:sz w:val="24"/>
          <w:szCs w:val="24"/>
          <w:u w:val="none"/>
        </w:rPr>
        <w:fldChar w:fldCharType="separate"/>
      </w:r>
      <w:r>
        <w:rPr>
          <w:rStyle w:val="11"/>
          <w:rFonts w:ascii="宋体" w:hAnsi="宋体" w:eastAsia="宋体" w:cs="宋体"/>
          <w:color w:val="auto"/>
          <w:sz w:val="24"/>
          <w:szCs w:val="24"/>
          <w:u w:val="none"/>
        </w:rPr>
        <w:t>江西中医学院</w:t>
      </w:r>
      <w:r>
        <w:rPr>
          <w:rFonts w:ascii="宋体" w:hAnsi="宋体" w:eastAsia="宋体" w:cs="宋体"/>
          <w:color w:val="auto"/>
          <w:sz w:val="24"/>
          <w:szCs w:val="24"/>
          <w:u w:val="none"/>
        </w:rPr>
        <w:fldChar w:fldCharType="end"/>
      </w:r>
      <w:r>
        <w:rPr>
          <w:rFonts w:ascii="宋体" w:hAnsi="宋体" w:eastAsia="宋体" w:cs="宋体"/>
          <w:color w:val="auto"/>
          <w:sz w:val="24"/>
          <w:szCs w:val="24"/>
          <w:u w:val="none"/>
        </w:rPr>
        <w:t>，2</w:t>
      </w:r>
      <w:r>
        <w:rPr>
          <w:rFonts w:ascii="宋体" w:hAnsi="宋体" w:eastAsia="宋体" w:cs="宋体"/>
          <w:color w:val="auto"/>
          <w:sz w:val="24"/>
          <w:szCs w:val="24"/>
        </w:rPr>
        <w:t>013年更名为江西中医药大学</w:t>
      </w:r>
      <w:r>
        <w:rPr>
          <w:rFonts w:hint="eastAsia" w:ascii="宋体" w:hAnsi="宋体" w:eastAsia="宋体" w:cs="宋体"/>
          <w:color w:val="auto"/>
          <w:sz w:val="24"/>
          <w:szCs w:val="24"/>
          <w:lang w:eastAsia="zh-CN"/>
        </w:rPr>
        <w:t>。</w:t>
      </w:r>
    </w:p>
    <w:p w14:paraId="74857E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ascii="宋体" w:hAnsi="宋体" w:eastAsia="宋体" w:cs="宋体"/>
          <w:color w:val="auto"/>
          <w:sz w:val="24"/>
          <w:szCs w:val="24"/>
        </w:rPr>
        <w:t>学校拥有直属附属医院3所，非直属附属医院9所，设有教育教学机构18个。学校图书馆拥有纸本图书181.63万册，电子图书162.41万册。学校现有专任教师1257人，其中具有高级职称的教师占48.4%，具有硕士、博士学位的教师占88.83%‌</w:t>
      </w:r>
      <w:r>
        <w:rPr>
          <w:rFonts w:hint="eastAsia" w:ascii="宋体" w:hAnsi="宋体" w:eastAsia="宋体" w:cs="宋体"/>
          <w:color w:val="auto"/>
          <w:sz w:val="24"/>
          <w:szCs w:val="24"/>
          <w:lang w:eastAsia="zh-CN"/>
        </w:rPr>
        <w:t>。</w:t>
      </w:r>
    </w:p>
    <w:p w14:paraId="5E6EA2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i w:val="0"/>
          <w:iCs w:val="0"/>
          <w:caps w:val="0"/>
          <w:color w:val="000000"/>
          <w:spacing w:val="0"/>
          <w:sz w:val="24"/>
          <w:szCs w:val="24"/>
          <w:shd w:val="clear" w:fill="FFFFFF"/>
          <w:lang w:val="en-US" w:eastAsia="zh-CN"/>
        </w:rPr>
      </w:pPr>
      <w:r>
        <w:rPr>
          <w:rFonts w:ascii="宋体" w:hAnsi="宋体" w:eastAsia="宋体" w:cs="宋体"/>
          <w:color w:val="auto"/>
          <w:sz w:val="24"/>
          <w:szCs w:val="24"/>
        </w:rPr>
        <w:t>为进一步促进中医药文化宣传推广，学院制定了《江西中医药大学药学院中医药文化传播行动实施办法（试行）》，专门成立工作领导小组，保障工作的顺利进行。为进一步开展在中小学中医药文化推广传播行动，与南昌市第十六中学共建中医药文化宣传教育基地，陆续为十六中师生带来《看病，究竟看什么？》《药，该怎么用》《中药与中药资源》和《采好药</w:t>
      </w:r>
      <w:r>
        <w:rPr>
          <w:rFonts w:hint="default" w:ascii="宋体" w:hAnsi="宋体" w:eastAsia="宋体" w:cs="宋体"/>
          <w:color w:val="auto"/>
          <w:sz w:val="24"/>
          <w:szCs w:val="24"/>
        </w:rPr>
        <w:t xml:space="preserve"> 制好药》等课程。下一步，药学院将结合实际，继续推动中医药文化进校园、进社区、进农村等工作，把中弘扬和传播医药文化作为推动中医药强省和中医药事业振兴发展的一项重要工作。</w:t>
      </w:r>
    </w:p>
    <w:p w14:paraId="7721C7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为培养更多医学领域人才。江西中医药大学决定面向全国开设药物化学、药剂学、生药学、药理学、药物分析学专业同等学高层次力申请硕士学位课程研修班。</w:t>
      </w:r>
    </w:p>
    <w:p w14:paraId="00489A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706BCD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shd w:val="clear" w:fill="FFFFFF"/>
        </w:rPr>
      </w:pPr>
    </w:p>
    <w:p w14:paraId="0EF357A8">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4119D9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Style w:val="9"/>
          <w:rFonts w:hint="eastAsia" w:ascii="宋体" w:hAnsi="宋体" w:eastAsia="宋体" w:cs="宋体"/>
          <w:b w:val="0"/>
          <w:bCs/>
          <w:sz w:val="24"/>
          <w:szCs w:val="24"/>
          <w:lang w:val="en-US" w:eastAsia="zh-CN"/>
        </w:rPr>
        <w:t>本专业</w:t>
      </w:r>
      <w:r>
        <w:rPr>
          <w:rStyle w:val="9"/>
          <w:rFonts w:ascii="宋体" w:hAnsi="宋体" w:eastAsia="宋体" w:cs="宋体"/>
          <w:b w:val="0"/>
          <w:bCs/>
          <w:sz w:val="24"/>
          <w:szCs w:val="24"/>
        </w:rPr>
        <w:t>培养适应社会进步和医药事业发展需要，德、智、体、美、劳全面发展的药学专业人才</w:t>
      </w:r>
      <w:r>
        <w:rPr>
          <w:rFonts w:ascii="宋体" w:hAnsi="宋体" w:eastAsia="宋体" w:cs="宋体"/>
          <w:b w:val="0"/>
          <w:bCs/>
          <w:sz w:val="24"/>
          <w:szCs w:val="24"/>
        </w:rPr>
        <w:t>‌。</w:t>
      </w:r>
      <w:r>
        <w:rPr>
          <w:rFonts w:ascii="宋体" w:hAnsi="宋体" w:eastAsia="宋体" w:cs="宋体"/>
          <w:sz w:val="24"/>
          <w:szCs w:val="24"/>
        </w:rPr>
        <w:t>这些人才应具备创新精神、创业意识和实践能力，能够在药物研发、生产、检验、流通、使用和管理等领域从事相关工作</w:t>
      </w:r>
      <w:r>
        <w:rPr>
          <w:rFonts w:hint="eastAsia" w:ascii="宋体" w:hAnsi="宋体" w:eastAsia="宋体" w:cs="宋体"/>
          <w:sz w:val="24"/>
          <w:szCs w:val="24"/>
          <w:lang w:eastAsia="zh-CN"/>
        </w:rPr>
        <w:t>。</w:t>
      </w:r>
      <w:r>
        <w:rPr>
          <w:rFonts w:ascii="宋体" w:hAnsi="宋体" w:eastAsia="宋体" w:cs="宋体"/>
          <w:sz w:val="24"/>
          <w:szCs w:val="24"/>
        </w:rPr>
        <w:t>‌</w:t>
      </w:r>
    </w:p>
    <w:p w14:paraId="26129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p>
    <w:p w14:paraId="66857395">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753C3C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cs="宋体" w:asciiTheme="minorEastAsia" w:hAnsiTheme="minorEastAsia"/>
          <w:sz w:val="24"/>
        </w:rPr>
        <w:t>【学科</w:t>
      </w:r>
      <w:r>
        <w:rPr>
          <w:rFonts w:hint="eastAsia" w:cs="宋体" w:asciiTheme="minorEastAsia" w:hAnsiTheme="minorEastAsia"/>
          <w:sz w:val="24"/>
          <w:lang w:val="en-US" w:eastAsia="zh-CN"/>
        </w:rPr>
        <w:t>发展</w:t>
      </w:r>
      <w:r>
        <w:rPr>
          <w:rFonts w:hint="eastAsia" w:cs="宋体" w:asciiTheme="minorEastAsia" w:hAnsiTheme="minorEastAsia"/>
          <w:sz w:val="24"/>
        </w:rPr>
        <w:t>】</w:t>
      </w:r>
      <w:r>
        <w:rPr>
          <w:rFonts w:ascii="宋体" w:hAnsi="宋体" w:eastAsia="宋体" w:cs="宋体"/>
          <w:sz w:val="24"/>
          <w:szCs w:val="24"/>
        </w:rPr>
        <w:t>药学院提出了“创建国内一流药学院”的宏伟目标，并围绕这一目标，在人才培养、学科建设、科学研究、社会服务等方面精心设计、谋篇布局，为实现药学院新一轮跨越式发展奠定了基础。</w:t>
      </w:r>
    </w:p>
    <w:p w14:paraId="1923B0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符合报考条件即可报考，先学习后考试</w:t>
      </w:r>
      <w:r>
        <w:rPr>
          <w:rFonts w:cs="宋体" w:asciiTheme="minorEastAsia" w:hAnsiTheme="minorEastAsia"/>
          <w:sz w:val="24"/>
        </w:rPr>
        <w:t>；</w:t>
      </w:r>
    </w:p>
    <w:p w14:paraId="3C7439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2</w:t>
      </w:r>
      <w:r>
        <w:rPr>
          <w:rFonts w:hint="eastAsia" w:cs="宋体" w:asciiTheme="minorEastAsia" w:hAnsiTheme="minorEastAsia"/>
          <w:sz w:val="24"/>
        </w:rPr>
        <w:t>科】</w:t>
      </w:r>
      <w:r>
        <w:rPr>
          <w:rFonts w:hint="eastAsia" w:cs="宋体" w:asciiTheme="minorEastAsia" w:hAnsiTheme="minorEastAsia"/>
          <w:sz w:val="24"/>
          <w:lang w:val="en-US" w:eastAsia="zh-CN"/>
        </w:rPr>
        <w:t>全国统考仅考英语1门</w:t>
      </w:r>
      <w:r>
        <w:rPr>
          <w:rFonts w:hint="eastAsia" w:cs="宋体" w:asciiTheme="minorEastAsia" w:hAnsiTheme="minorEastAsia"/>
          <w:sz w:val="24"/>
        </w:rPr>
        <w:t>，</w:t>
      </w:r>
      <w:r>
        <w:rPr>
          <w:rFonts w:hint="eastAsia" w:cs="宋体" w:asciiTheme="minorEastAsia" w:hAnsiTheme="minorEastAsia"/>
          <w:sz w:val="24"/>
          <w:lang w:val="en-US" w:eastAsia="zh-CN"/>
        </w:rPr>
        <w:t>均</w:t>
      </w:r>
      <w:r>
        <w:rPr>
          <w:rFonts w:hint="eastAsia" w:cs="宋体" w:asciiTheme="minorEastAsia" w:hAnsiTheme="minorEastAsia"/>
          <w:sz w:val="24"/>
        </w:rPr>
        <w:t>60分合格，难度较低；</w:t>
      </w:r>
    </w:p>
    <w:p w14:paraId="4B4C51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5</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55C725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cs="宋体" w:asciiTheme="minorEastAsia" w:hAnsiTheme="minorEastAsia"/>
          <w:sz w:val="24"/>
        </w:rPr>
        <w:t>【灵活授课】</w:t>
      </w:r>
      <w:r>
        <w:rPr>
          <w:rFonts w:hint="eastAsia" w:asciiTheme="minorEastAsia" w:hAnsiTheme="minorEastAsia" w:cstheme="minorEastAsia"/>
          <w:sz w:val="24"/>
          <w:szCs w:val="24"/>
          <w:lang w:val="en-US" w:eastAsia="zh-CN"/>
        </w:rPr>
        <w:t>网络授课教学+仅1天面授，方便异地学员报读。</w:t>
      </w:r>
    </w:p>
    <w:p w14:paraId="4396DF4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474D3F3B">
      <w:pPr>
        <w:numPr>
          <w:ilvl w:val="0"/>
          <w:numId w:val="0"/>
        </w:numPr>
        <w:spacing w:line="360" w:lineRule="auto"/>
        <w:ind w:leftChars="0"/>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6166B856">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招生专业：</w:t>
      </w:r>
    </w:p>
    <w:p w14:paraId="7D92852D">
      <w:pPr>
        <w:numPr>
          <w:ilvl w:val="0"/>
          <w:numId w:val="0"/>
        </w:numPr>
        <w:spacing w:line="360" w:lineRule="auto"/>
        <w:ind w:left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917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4981F4E">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药物化学专业</w:t>
            </w:r>
          </w:p>
        </w:tc>
        <w:tc>
          <w:tcPr>
            <w:tcW w:w="4261" w:type="dxa"/>
          </w:tcPr>
          <w:p w14:paraId="018EFE7D">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药剂学专业</w:t>
            </w:r>
          </w:p>
        </w:tc>
      </w:tr>
      <w:tr w14:paraId="2DFF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54533EA">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生药学专业</w:t>
            </w:r>
          </w:p>
        </w:tc>
        <w:tc>
          <w:tcPr>
            <w:tcW w:w="4261" w:type="dxa"/>
          </w:tcPr>
          <w:p w14:paraId="4359465A">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药理学专业</w:t>
            </w:r>
          </w:p>
        </w:tc>
      </w:tr>
      <w:tr w14:paraId="1B10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538792C">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药物分析学专业</w:t>
            </w:r>
          </w:p>
        </w:tc>
        <w:tc>
          <w:tcPr>
            <w:tcW w:w="4261" w:type="dxa"/>
          </w:tcPr>
          <w:p w14:paraId="3CE0358F">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jc w:val="center"/>
              <w:textAlignment w:val="auto"/>
              <w:rPr>
                <w:rFonts w:hint="eastAsia" w:ascii="宋体" w:hAnsi="宋体" w:eastAsia="宋体" w:cs="微软雅黑"/>
                <w:b w:val="0"/>
                <w:color w:val="000000"/>
                <w:kern w:val="0"/>
                <w:sz w:val="21"/>
                <w:szCs w:val="21"/>
                <w:lang w:val="en-US" w:eastAsia="zh-CN" w:bidi="ar"/>
              </w:rPr>
            </w:pPr>
          </w:p>
        </w:tc>
      </w:tr>
    </w:tbl>
    <w:p w14:paraId="2F8471A9">
      <w:pPr>
        <w:numPr>
          <w:ilvl w:val="0"/>
          <w:numId w:val="0"/>
        </w:numPr>
        <w:spacing w:line="360" w:lineRule="auto"/>
        <w:ind w:left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48F4274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五、课程设置：</w:t>
      </w:r>
    </w:p>
    <w:p w14:paraId="75EBD662">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1EBD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18D607A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sz w:val="24"/>
                <w:lang w:eastAsia="zh-CN"/>
              </w:rPr>
              <w:t>药物化学</w:t>
            </w:r>
            <w:r>
              <w:rPr>
                <w:rFonts w:hint="eastAsia" w:eastAsia="宋体" w:cs="微软雅黑"/>
                <w:b/>
                <w:bCs/>
                <w:color w:val="000000"/>
                <w:sz w:val="24"/>
                <w:szCs w:val="24"/>
                <w:lang w:val="en-US" w:eastAsia="zh-CN" w:bidi="ar"/>
              </w:rPr>
              <w:t>专业课程设置</w:t>
            </w:r>
          </w:p>
        </w:tc>
      </w:tr>
      <w:tr w14:paraId="07D8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8AD9BCB">
            <w:pPr>
              <w:rPr>
                <w:rFonts w:hint="eastAsia" w:eastAsia="宋体" w:cs="微软雅黑"/>
                <w:b/>
                <w:bCs/>
                <w:color w:val="000000"/>
                <w:sz w:val="21"/>
                <w:szCs w:val="21"/>
                <w:lang w:val="en-US" w:eastAsia="zh-CN" w:bidi="ar"/>
              </w:rPr>
            </w:pPr>
          </w:p>
          <w:p w14:paraId="19F8B199">
            <w:pPr>
              <w:rPr>
                <w:rFonts w:hint="eastAsia" w:eastAsia="宋体" w:cs="微软雅黑"/>
                <w:b/>
                <w:bCs/>
                <w:color w:val="000000"/>
                <w:sz w:val="21"/>
                <w:szCs w:val="21"/>
                <w:lang w:val="en-US" w:eastAsia="zh-CN" w:bidi="ar"/>
              </w:rPr>
            </w:pPr>
          </w:p>
          <w:p w14:paraId="64F3460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4F4D889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470AF0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科学伦理与学术规范</w:t>
            </w:r>
          </w:p>
        </w:tc>
      </w:tr>
      <w:tr w14:paraId="14DB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9E6CB40">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25F5B54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3A7BD49D">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4275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4305667">
            <w:pPr>
              <w:rPr>
                <w:rFonts w:hint="eastAsia" w:eastAsia="宋体" w:cs="微软雅黑"/>
                <w:b w:val="0"/>
                <w:color w:val="000000"/>
                <w:sz w:val="21"/>
                <w:szCs w:val="21"/>
                <w:lang w:val="en-US" w:eastAsia="zh-CN" w:bidi="ar"/>
              </w:rPr>
            </w:pPr>
          </w:p>
          <w:p w14:paraId="21300696">
            <w:pPr>
              <w:ind w:firstLine="211" w:firstLineChars="100"/>
              <w:rPr>
                <w:rFonts w:hint="eastAsia" w:eastAsia="宋体" w:cs="微软雅黑"/>
                <w:b/>
                <w:bCs/>
                <w:color w:val="000000"/>
                <w:sz w:val="21"/>
                <w:szCs w:val="21"/>
                <w:lang w:val="en-US" w:eastAsia="zh-CN" w:bidi="ar"/>
              </w:rPr>
            </w:pPr>
          </w:p>
          <w:p w14:paraId="7DDD176B">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474779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药物化学</w:t>
            </w:r>
          </w:p>
        </w:tc>
        <w:tc>
          <w:tcPr>
            <w:tcW w:w="3472" w:type="dxa"/>
            <w:noWrap w:val="0"/>
            <w:vAlign w:val="top"/>
          </w:tcPr>
          <w:p w14:paraId="484FE5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有机化学</w:t>
            </w:r>
          </w:p>
        </w:tc>
      </w:tr>
      <w:tr w14:paraId="130B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9620FA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E85C6AD">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分析化学‌</w:t>
            </w:r>
          </w:p>
        </w:tc>
        <w:tc>
          <w:tcPr>
            <w:tcW w:w="3472" w:type="dxa"/>
            <w:noWrap w:val="0"/>
            <w:vAlign w:val="top"/>
          </w:tcPr>
          <w:p w14:paraId="575F6502">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药理学</w:t>
            </w:r>
          </w:p>
        </w:tc>
      </w:tr>
      <w:tr w14:paraId="45BA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825C38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30B7E4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生物药剂学</w:t>
            </w:r>
          </w:p>
        </w:tc>
        <w:tc>
          <w:tcPr>
            <w:tcW w:w="3472" w:type="dxa"/>
            <w:noWrap w:val="0"/>
            <w:vAlign w:val="top"/>
          </w:tcPr>
          <w:p w14:paraId="051A89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工业药剂学‌</w:t>
            </w:r>
          </w:p>
        </w:tc>
      </w:tr>
      <w:tr w14:paraId="018C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4D3194A">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B15C7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制药设备</w:t>
            </w:r>
          </w:p>
        </w:tc>
        <w:tc>
          <w:tcPr>
            <w:tcW w:w="3472" w:type="dxa"/>
            <w:noWrap w:val="0"/>
            <w:vAlign w:val="top"/>
          </w:tcPr>
          <w:p w14:paraId="1EAB80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制药化工过程与设备</w:t>
            </w:r>
          </w:p>
        </w:tc>
      </w:tr>
      <w:tr w14:paraId="5A2D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0442270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sz w:val="24"/>
                <w:lang w:eastAsia="zh-CN"/>
              </w:rPr>
              <w:t>药剂学</w:t>
            </w:r>
            <w:r>
              <w:rPr>
                <w:rFonts w:hint="eastAsia" w:eastAsia="宋体" w:cs="微软雅黑"/>
                <w:b/>
                <w:bCs/>
                <w:color w:val="000000"/>
                <w:sz w:val="24"/>
                <w:szCs w:val="24"/>
                <w:lang w:val="en-US" w:eastAsia="zh-CN" w:bidi="ar"/>
              </w:rPr>
              <w:t>专业课程设置</w:t>
            </w:r>
          </w:p>
        </w:tc>
      </w:tr>
      <w:tr w14:paraId="65FA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017C97AC">
            <w:pPr>
              <w:rPr>
                <w:rFonts w:hint="eastAsia" w:eastAsia="宋体" w:cs="微软雅黑"/>
                <w:b/>
                <w:bCs/>
                <w:color w:val="000000"/>
                <w:sz w:val="21"/>
                <w:szCs w:val="21"/>
                <w:lang w:val="en-US" w:eastAsia="zh-CN" w:bidi="ar"/>
              </w:rPr>
            </w:pPr>
          </w:p>
          <w:p w14:paraId="74A6D229">
            <w:pPr>
              <w:rPr>
                <w:rFonts w:hint="eastAsia" w:eastAsia="宋体" w:cs="微软雅黑"/>
                <w:b/>
                <w:bCs/>
                <w:color w:val="000000"/>
                <w:sz w:val="21"/>
                <w:szCs w:val="21"/>
                <w:lang w:val="en-US" w:eastAsia="zh-CN" w:bidi="ar"/>
              </w:rPr>
            </w:pPr>
          </w:p>
          <w:p w14:paraId="11477768">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22932F4E">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869980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科学伦理与学术规范</w:t>
            </w:r>
          </w:p>
        </w:tc>
      </w:tr>
      <w:tr w14:paraId="744B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A668841">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62486837">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英语</w:t>
            </w:r>
          </w:p>
        </w:tc>
        <w:tc>
          <w:tcPr>
            <w:tcW w:w="3472" w:type="dxa"/>
            <w:noWrap w:val="0"/>
            <w:vAlign w:val="top"/>
          </w:tcPr>
          <w:p w14:paraId="72819024">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2B20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2138FF41">
            <w:pPr>
              <w:rPr>
                <w:rFonts w:hint="eastAsia" w:eastAsia="宋体" w:cs="微软雅黑"/>
                <w:b w:val="0"/>
                <w:color w:val="000000"/>
                <w:sz w:val="21"/>
                <w:szCs w:val="21"/>
                <w:lang w:val="en-US" w:eastAsia="zh-CN" w:bidi="ar"/>
              </w:rPr>
            </w:pPr>
          </w:p>
          <w:p w14:paraId="3256C11E">
            <w:pPr>
              <w:ind w:firstLine="211" w:firstLineChars="100"/>
              <w:rPr>
                <w:rFonts w:hint="eastAsia" w:eastAsia="宋体" w:cs="微软雅黑"/>
                <w:b/>
                <w:bCs/>
                <w:color w:val="000000"/>
                <w:sz w:val="21"/>
                <w:szCs w:val="21"/>
                <w:lang w:val="en-US" w:eastAsia="zh-CN" w:bidi="ar"/>
              </w:rPr>
            </w:pPr>
          </w:p>
          <w:p w14:paraId="1A0AC040">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011926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8%8D%AF%E7%89%A9%E5%8C%96%E5%AD%A6&amp;rsv_pq=e4041e2202dc48df&amp;oq=%E6%B1%9F%E8%A5%BF%E4%B8%AD%E5%8C%BB%E8%8D%AF%E5%A4%A7%E5%AD%A6%E8%8D%AF%E5%89%82%E5%AD%A6%E8%AF%BE%E7%A8%8B%E8%AE%BE%E7%BD%AE&amp;rsv_t=5e08tgC08F64rkk8Ua6Ldd7/IeYF8NY/msOZ3YQaEsU3erFoLhNHe7toA44Z70C1jinMNYM&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药物化学</w:t>
            </w:r>
            <w:r>
              <w:rPr>
                <w:rFonts w:hint="eastAsia" w:ascii="宋体" w:hAnsi="宋体" w:eastAsia="宋体" w:cs="微软雅黑"/>
                <w:b w:val="0"/>
                <w:color w:val="000000"/>
                <w:kern w:val="0"/>
                <w:sz w:val="21"/>
                <w:szCs w:val="21"/>
                <w:lang w:val="en-US" w:eastAsia="zh-CN" w:bidi="ar"/>
              </w:rPr>
              <w:fldChar w:fldCharType="end"/>
            </w:r>
          </w:p>
        </w:tc>
        <w:tc>
          <w:tcPr>
            <w:tcW w:w="3472" w:type="dxa"/>
            <w:noWrap w:val="0"/>
            <w:vAlign w:val="top"/>
          </w:tcPr>
          <w:p w14:paraId="689642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8%8D%AF%E7%89%A9%E5%88%86%E6%9E%90&amp;rsv_pq=e4041e2202dc48df&amp;oq=%E6%B1%9F%E8%A5%BF%E4%B8%AD%E5%8C%BB%E8%8D%AF%E5%A4%A7%E5%AD%A6%E8%8D%AF%E5%89%82%E5%AD%A6%E8%AF%BE%E7%A8%8B%E8%AE%BE%E7%BD%AE&amp;rsv_t=5e08tgC08F64rkk8Ua6Ldd7/IeYF8NY/msOZ3YQaEsU3erFoLhNHe7toA44Z70C1jinMNYM&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药物分析</w:t>
            </w:r>
            <w:r>
              <w:rPr>
                <w:rFonts w:hint="eastAsia" w:ascii="宋体" w:hAnsi="宋体" w:eastAsia="宋体" w:cs="微软雅黑"/>
                <w:b w:val="0"/>
                <w:color w:val="000000"/>
                <w:kern w:val="0"/>
                <w:sz w:val="21"/>
                <w:szCs w:val="21"/>
                <w:lang w:val="en-US" w:eastAsia="zh-CN" w:bidi="ar"/>
              </w:rPr>
              <w:fldChar w:fldCharType="end"/>
            </w:r>
          </w:p>
        </w:tc>
      </w:tr>
      <w:tr w14:paraId="175D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C02971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63F079B">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8%8D%AF%E7%90%86%E5%AD%A6&amp;rsv_pq=e4041e2202dc48df&amp;oq=%E6%B1%9F%E8%A5%BF%E4%B8%AD%E5%8C%BB%E8%8D%AF%E5%A4%A7%E5%AD%A6%E8%8D%AF%E5%89%82%E5%AD%A6%E8%AF%BE%E7%A8%8B%E8%AE%BE%E7%BD%AE&amp;rsv_t=5e08tgC08F64rkk8Ua6Ldd7/IeYF8NY/msOZ3YQaEsU3erFoLhNHe7toA44Z70C1jinMNYM&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药理学</w:t>
            </w:r>
            <w:r>
              <w:rPr>
                <w:rFonts w:hint="eastAsia" w:ascii="宋体" w:hAnsi="宋体" w:eastAsia="宋体" w:cs="微软雅黑"/>
                <w:b w:val="0"/>
                <w:color w:val="000000"/>
                <w:kern w:val="0"/>
                <w:sz w:val="21"/>
                <w:szCs w:val="21"/>
                <w:lang w:val="en-US" w:eastAsia="zh-CN" w:bidi="ar"/>
              </w:rPr>
              <w:fldChar w:fldCharType="end"/>
            </w:r>
          </w:p>
        </w:tc>
        <w:tc>
          <w:tcPr>
            <w:tcW w:w="3472" w:type="dxa"/>
            <w:noWrap w:val="0"/>
            <w:vAlign w:val="top"/>
          </w:tcPr>
          <w:p w14:paraId="3D671B23">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4%B8%AD%E8%8D%AF%E8%8D%AF%E5%89%82%E5%AD%A6&amp;rsv_pq=e4041e2202dc48df&amp;oq=%E6%B1%9F%E8%A5%BF%E4%B8%AD%E5%8C%BB%E8%8D%AF%E5%A4%A7%E5%AD%A6%E8%8D%AF%E5%89%82%E5%AD%A6%E8%AF%BE%E7%A8%8B%E8%AE%BE%E7%BD%AE&amp;rsv_t=5e08tgC08F64rkk8Ua6Ldd7/IeYF8NY/msOZ3YQaEsU3erFoLhNHe7toA44Z70C1jinMNYM&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中药药剂学</w:t>
            </w:r>
            <w:r>
              <w:rPr>
                <w:rFonts w:hint="eastAsia" w:ascii="宋体" w:hAnsi="宋体" w:eastAsia="宋体" w:cs="微软雅黑"/>
                <w:b w:val="0"/>
                <w:color w:val="000000"/>
                <w:kern w:val="0"/>
                <w:sz w:val="21"/>
                <w:szCs w:val="21"/>
                <w:lang w:val="en-US" w:eastAsia="zh-CN" w:bidi="ar"/>
              </w:rPr>
              <w:fldChar w:fldCharType="end"/>
            </w:r>
          </w:p>
        </w:tc>
      </w:tr>
      <w:tr w14:paraId="3103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4318D9E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0782C1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4%B8%AD%E8%8D%AF%E9%89%B4%E5%AE%9A%E5%AD%A6&amp;rsv_pq=e4041e2202dc48df&amp;oq=%E6%B1%9F%E8%A5%BF%E4%B8%AD%E5%8C%BB%E8%8D%AF%E5%A4%A7%E5%AD%A6%E8%8D%AF%E5%89%82%E5%AD%A6%E8%AF%BE%E7%A8%8B%E8%AE%BE%E7%BD%AE&amp;rsv_t=5e08tgC08F64rkk8Ua6Ldd7/IeYF8NY/msOZ3YQaEsU3erFoLhNHe7toA44Z70C1jinMNYM&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中药鉴定学</w:t>
            </w:r>
            <w:r>
              <w:rPr>
                <w:rFonts w:hint="eastAsia" w:ascii="宋体" w:hAnsi="宋体" w:eastAsia="宋体" w:cs="微软雅黑"/>
                <w:b w:val="0"/>
                <w:color w:val="000000"/>
                <w:kern w:val="0"/>
                <w:sz w:val="21"/>
                <w:szCs w:val="21"/>
                <w:lang w:val="en-US" w:eastAsia="zh-CN" w:bidi="ar"/>
              </w:rPr>
              <w:fldChar w:fldCharType="end"/>
            </w:r>
          </w:p>
        </w:tc>
        <w:tc>
          <w:tcPr>
            <w:tcW w:w="3472" w:type="dxa"/>
            <w:noWrap w:val="0"/>
            <w:vAlign w:val="top"/>
          </w:tcPr>
          <w:p w14:paraId="0E371D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4%B8%AD%E8%8D%AF%E7%82%AE%E5%88%B6%E5%AD%A6&amp;rsv_pq=e4041e2202dc48df&amp;oq=%E6%B1%9F%E8%A5%BF%E4%B8%AD%E5%8C%BB%E8%8D%AF%E5%A4%A7%E5%AD%A6%E8%8D%AF%E5%89%82%E5%AD%A6%E8%AF%BE%E7%A8%8B%E8%AE%BE%E7%BD%AE&amp;rsv_t=5e08tgC08F64rkk8Ua6Ldd7/IeYF8NY/msOZ3YQaEsU3erFoLhNHe7toA44Z70C1jinMNYM&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中药炮制学</w:t>
            </w:r>
            <w:r>
              <w:rPr>
                <w:rFonts w:hint="eastAsia" w:ascii="宋体" w:hAnsi="宋体" w:eastAsia="宋体" w:cs="微软雅黑"/>
                <w:b w:val="0"/>
                <w:color w:val="000000"/>
                <w:kern w:val="0"/>
                <w:sz w:val="21"/>
                <w:szCs w:val="21"/>
                <w:lang w:val="en-US" w:eastAsia="zh-CN" w:bidi="ar"/>
              </w:rPr>
              <w:fldChar w:fldCharType="end"/>
            </w:r>
          </w:p>
        </w:tc>
      </w:tr>
      <w:tr w14:paraId="75F50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2AC62B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2B0A77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4%B8%AD%E8%8D%AF%E8%8D%AF%E7%90%86%E5%AD%A6&amp;rsv_pq=e4041e2202dc48df&amp;oq=%E6%B1%9F%E8%A5%BF%E4%B8%AD%E5%8C%BB%E8%8D%AF%E5%A4%A7%E5%AD%A6%E8%8D%AF%E5%89%82%E5%AD%A6%E8%AF%BE%E7%A8%8B%E8%AE%BE%E7%BD%AE&amp;rsv_t=5e08tgC08F64rkk8Ua6Ldd7/IeYF8NY/msOZ3YQaEsU3erFoLhNHe7toA44Z70C1jinMNYM&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中药药理学</w:t>
            </w:r>
            <w:r>
              <w:rPr>
                <w:rFonts w:hint="eastAsia" w:ascii="宋体" w:hAnsi="宋体" w:eastAsia="宋体" w:cs="微软雅黑"/>
                <w:b w:val="0"/>
                <w:color w:val="000000"/>
                <w:kern w:val="0"/>
                <w:sz w:val="21"/>
                <w:szCs w:val="21"/>
                <w:lang w:val="en-US" w:eastAsia="zh-CN" w:bidi="ar"/>
              </w:rPr>
              <w:fldChar w:fldCharType="end"/>
            </w:r>
          </w:p>
        </w:tc>
        <w:tc>
          <w:tcPr>
            <w:tcW w:w="3472" w:type="dxa"/>
            <w:noWrap w:val="0"/>
            <w:vAlign w:val="top"/>
          </w:tcPr>
          <w:p w14:paraId="319BD1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4%B8%AD%E8%8D%AF%E5%88%B6%E5%89%82%E5%88%86%E6%9E%90&amp;rsv_pq=e4041e2202dc48df&amp;oq=%E6%B1%9F%E8%A5%BF%E4%B8%AD%E5%8C%BB%E8%8D%AF%E5%A4%A7%E5%AD%A6%E8%8D%AF%E5%89%82%E5%AD%A6%E8%AF%BE%E7%A8%8B%E8%AE%BE%E7%BD%AE&amp;rsv_t=5e08tgC08F64rkk8Ua6Ldd7/IeYF8NY/msOZ3YQaEsU3erFoLhNHe7toA44Z70C1jinMNYM&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中药制剂分析</w:t>
            </w:r>
            <w:r>
              <w:rPr>
                <w:rFonts w:hint="eastAsia" w:ascii="宋体" w:hAnsi="宋体" w:eastAsia="宋体" w:cs="微软雅黑"/>
                <w:b w:val="0"/>
                <w:color w:val="000000"/>
                <w:kern w:val="0"/>
                <w:sz w:val="21"/>
                <w:szCs w:val="21"/>
                <w:lang w:val="en-US" w:eastAsia="zh-CN" w:bidi="ar"/>
              </w:rPr>
              <w:fldChar w:fldCharType="end"/>
            </w:r>
          </w:p>
        </w:tc>
      </w:tr>
      <w:tr w14:paraId="6A4F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4E5D798">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8E5425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8%8D%AF%E4%BA%8B%E7%AE%A1%E7%90%86%E5%AD%A6&amp;rsv_pq=e4041e2202dc48df&amp;oq=%E6%B1%9F%E8%A5%BF%E4%B8%AD%E5%8C%BB%E8%8D%AF%E5%A4%A7%E5%AD%A6%E8%8D%AF%E5%89%82%E5%AD%A6%E8%AF%BE%E7%A8%8B%E8%AE%BE%E7%BD%AE&amp;rsv_t=5e08tgC08F64rkk8Ua6Ldd7/IeYF8NY/msOZ3YQaEsU3erFoLhNHe7toA44Z70C1jinMNYM&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药事管理学</w:t>
            </w:r>
            <w:r>
              <w:rPr>
                <w:rFonts w:hint="eastAsia" w:ascii="宋体" w:hAnsi="宋体" w:eastAsia="宋体" w:cs="微软雅黑"/>
                <w:b w:val="0"/>
                <w:color w:val="000000"/>
                <w:kern w:val="0"/>
                <w:sz w:val="21"/>
                <w:szCs w:val="21"/>
                <w:lang w:val="en-US" w:eastAsia="zh-CN" w:bidi="ar"/>
              </w:rPr>
              <w:fldChar w:fldCharType="end"/>
            </w:r>
          </w:p>
        </w:tc>
        <w:tc>
          <w:tcPr>
            <w:tcW w:w="3472" w:type="dxa"/>
            <w:noWrap w:val="0"/>
            <w:vAlign w:val="top"/>
          </w:tcPr>
          <w:p w14:paraId="310AE7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6%9C%AC%E8%8D%89%E9%80%89%E8%AF%BB&amp;rsv_pq=e4041e2202dc48df&amp;oq=%E6%B1%9F%E8%A5%BF%E4%B8%AD%E5%8C%BB%E8%8D%AF%E5%A4%A7%E5%AD%A6%E8%8D%AF%E5%89%82%E5%AD%A6%E8%AF%BE%E7%A8%8B%E8%AE%BE%E7%BD%AE&amp;rsv_t=5e08tgC08F64rkk8Ua6Ldd7/IeYF8NY/msOZ3YQaEsU3erFoLhNHe7toA44Z70C1jinMNYM&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本草选读</w:t>
            </w:r>
            <w:r>
              <w:rPr>
                <w:rFonts w:hint="eastAsia" w:ascii="宋体" w:hAnsi="宋体" w:eastAsia="宋体" w:cs="微软雅黑"/>
                <w:b w:val="0"/>
                <w:color w:val="000000"/>
                <w:kern w:val="0"/>
                <w:sz w:val="21"/>
                <w:szCs w:val="21"/>
                <w:lang w:val="en-US" w:eastAsia="zh-CN" w:bidi="ar"/>
              </w:rPr>
              <w:fldChar w:fldCharType="end"/>
            </w:r>
          </w:p>
        </w:tc>
      </w:tr>
      <w:tr w14:paraId="3078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2A33D88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sz w:val="24"/>
                <w:lang w:eastAsia="zh-CN"/>
              </w:rPr>
              <w:t>生药学</w:t>
            </w:r>
            <w:r>
              <w:rPr>
                <w:rFonts w:hint="eastAsia" w:eastAsia="宋体" w:cs="微软雅黑"/>
                <w:b/>
                <w:bCs/>
                <w:color w:val="000000"/>
                <w:sz w:val="24"/>
                <w:szCs w:val="24"/>
                <w:lang w:val="en-US" w:eastAsia="zh-CN" w:bidi="ar"/>
              </w:rPr>
              <w:t>专业课程设置</w:t>
            </w:r>
          </w:p>
        </w:tc>
      </w:tr>
      <w:tr w14:paraId="7D13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00F3511E">
            <w:pPr>
              <w:rPr>
                <w:rFonts w:hint="eastAsia" w:eastAsia="宋体" w:cs="微软雅黑"/>
                <w:b/>
                <w:bCs/>
                <w:color w:val="000000"/>
                <w:sz w:val="21"/>
                <w:szCs w:val="21"/>
                <w:lang w:val="en-US" w:eastAsia="zh-CN" w:bidi="ar"/>
              </w:rPr>
            </w:pPr>
          </w:p>
          <w:p w14:paraId="481B21EE">
            <w:pPr>
              <w:rPr>
                <w:rFonts w:hint="eastAsia" w:eastAsia="宋体" w:cs="微软雅黑"/>
                <w:b/>
                <w:bCs/>
                <w:color w:val="000000"/>
                <w:sz w:val="21"/>
                <w:szCs w:val="21"/>
                <w:lang w:val="en-US" w:eastAsia="zh-CN" w:bidi="ar"/>
              </w:rPr>
            </w:pPr>
          </w:p>
          <w:p w14:paraId="2A422B05">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17E1BF38">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3CBD768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科学伦理与学术规范</w:t>
            </w:r>
          </w:p>
        </w:tc>
      </w:tr>
      <w:tr w14:paraId="3F8D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B075CB3">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75CE0AE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51C7A4C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75A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6E3866AA">
            <w:pPr>
              <w:rPr>
                <w:rFonts w:hint="eastAsia" w:eastAsia="宋体" w:cs="微软雅黑"/>
                <w:b w:val="0"/>
                <w:color w:val="000000"/>
                <w:sz w:val="21"/>
                <w:szCs w:val="21"/>
                <w:lang w:val="en-US" w:eastAsia="zh-CN" w:bidi="ar"/>
              </w:rPr>
            </w:pPr>
          </w:p>
          <w:p w14:paraId="37CE3388">
            <w:pPr>
              <w:ind w:firstLine="211" w:firstLineChars="100"/>
              <w:rPr>
                <w:rFonts w:hint="eastAsia" w:eastAsia="宋体" w:cs="微软雅黑"/>
                <w:b/>
                <w:bCs/>
                <w:color w:val="000000"/>
                <w:sz w:val="21"/>
                <w:szCs w:val="21"/>
                <w:lang w:val="en-US" w:eastAsia="zh-CN" w:bidi="ar"/>
              </w:rPr>
            </w:pPr>
          </w:p>
          <w:p w14:paraId="2A5B807A">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2B5885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药物化学</w:t>
            </w:r>
          </w:p>
        </w:tc>
        <w:tc>
          <w:tcPr>
            <w:tcW w:w="3472" w:type="dxa"/>
            <w:noWrap w:val="0"/>
            <w:vAlign w:val="top"/>
          </w:tcPr>
          <w:p w14:paraId="67E13A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药剂学</w:t>
            </w:r>
          </w:p>
        </w:tc>
      </w:tr>
      <w:tr w14:paraId="0B92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442B75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4A061D2">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药理学</w:t>
            </w:r>
          </w:p>
        </w:tc>
        <w:tc>
          <w:tcPr>
            <w:tcW w:w="3472" w:type="dxa"/>
            <w:noWrap w:val="0"/>
            <w:vAlign w:val="top"/>
          </w:tcPr>
          <w:p w14:paraId="42FBB072">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药物分析</w:t>
            </w:r>
          </w:p>
        </w:tc>
      </w:tr>
      <w:tr w14:paraId="02DE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27C080A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15A2B3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现代分子生物学</w:t>
            </w:r>
          </w:p>
        </w:tc>
        <w:tc>
          <w:tcPr>
            <w:tcW w:w="3472" w:type="dxa"/>
            <w:noWrap w:val="0"/>
            <w:vAlign w:val="top"/>
          </w:tcPr>
          <w:p w14:paraId="25539B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药用高分子材料</w:t>
            </w:r>
          </w:p>
        </w:tc>
      </w:tr>
      <w:tr w14:paraId="31D0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2E4FD67">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7FA13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药事管理学</w:t>
            </w:r>
          </w:p>
        </w:tc>
        <w:tc>
          <w:tcPr>
            <w:tcW w:w="3472" w:type="dxa"/>
            <w:noWrap w:val="0"/>
            <w:vAlign w:val="top"/>
          </w:tcPr>
          <w:p w14:paraId="7B08E73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天然药物化学</w:t>
            </w:r>
          </w:p>
        </w:tc>
      </w:tr>
      <w:tr w14:paraId="2987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C3011B5">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9F02E0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生物药剂学</w:t>
            </w:r>
          </w:p>
        </w:tc>
        <w:tc>
          <w:tcPr>
            <w:tcW w:w="3472" w:type="dxa"/>
            <w:noWrap w:val="0"/>
            <w:vAlign w:val="top"/>
          </w:tcPr>
          <w:p w14:paraId="1938E8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药用植物学与生药学</w:t>
            </w:r>
          </w:p>
        </w:tc>
      </w:tr>
      <w:tr w14:paraId="176C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6F901B5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sz w:val="24"/>
                <w:lang w:eastAsia="zh-CN"/>
              </w:rPr>
              <w:t>药理学</w:t>
            </w:r>
            <w:r>
              <w:rPr>
                <w:rFonts w:hint="eastAsia" w:eastAsia="宋体" w:cs="微软雅黑"/>
                <w:b/>
                <w:bCs/>
                <w:color w:val="000000"/>
                <w:sz w:val="24"/>
                <w:szCs w:val="24"/>
                <w:lang w:val="en-US" w:eastAsia="zh-CN" w:bidi="ar"/>
              </w:rPr>
              <w:t>专业课程设置</w:t>
            </w:r>
          </w:p>
        </w:tc>
      </w:tr>
      <w:tr w14:paraId="575E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6F64FD69">
            <w:pPr>
              <w:rPr>
                <w:rFonts w:hint="eastAsia" w:eastAsia="宋体" w:cs="微软雅黑"/>
                <w:b/>
                <w:bCs/>
                <w:color w:val="000000"/>
                <w:sz w:val="21"/>
                <w:szCs w:val="21"/>
                <w:lang w:val="en-US" w:eastAsia="zh-CN" w:bidi="ar"/>
              </w:rPr>
            </w:pPr>
          </w:p>
          <w:p w14:paraId="26F516EF">
            <w:pPr>
              <w:rPr>
                <w:rFonts w:hint="eastAsia" w:eastAsia="宋体" w:cs="微软雅黑"/>
                <w:b/>
                <w:bCs/>
                <w:color w:val="000000"/>
                <w:sz w:val="21"/>
                <w:szCs w:val="21"/>
                <w:lang w:val="en-US" w:eastAsia="zh-CN" w:bidi="ar"/>
              </w:rPr>
            </w:pPr>
          </w:p>
          <w:p w14:paraId="6EAF8E44">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1972A14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253568A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科学伦理与学术规范</w:t>
            </w:r>
          </w:p>
        </w:tc>
      </w:tr>
      <w:tr w14:paraId="0B5E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7DAD65D">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1F8CD1A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14170BA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1BDD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226ABE96">
            <w:pPr>
              <w:rPr>
                <w:rFonts w:hint="eastAsia" w:eastAsia="宋体" w:cs="微软雅黑"/>
                <w:b w:val="0"/>
                <w:color w:val="000000"/>
                <w:sz w:val="21"/>
                <w:szCs w:val="21"/>
                <w:lang w:val="en-US" w:eastAsia="zh-CN" w:bidi="ar"/>
              </w:rPr>
            </w:pPr>
          </w:p>
          <w:p w14:paraId="7D781587">
            <w:pPr>
              <w:ind w:firstLine="211" w:firstLineChars="100"/>
              <w:rPr>
                <w:rFonts w:hint="eastAsia" w:eastAsia="宋体" w:cs="微软雅黑"/>
                <w:b/>
                <w:bCs/>
                <w:color w:val="000000"/>
                <w:sz w:val="21"/>
                <w:szCs w:val="21"/>
                <w:lang w:val="en-US" w:eastAsia="zh-CN" w:bidi="ar"/>
              </w:rPr>
            </w:pPr>
          </w:p>
          <w:p w14:paraId="42B72B51">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0D29E1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无机化学</w:t>
            </w:r>
          </w:p>
        </w:tc>
        <w:tc>
          <w:tcPr>
            <w:tcW w:w="3472" w:type="dxa"/>
            <w:noWrap w:val="0"/>
            <w:vAlign w:val="top"/>
          </w:tcPr>
          <w:p w14:paraId="6D7C23D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有机化学</w:t>
            </w:r>
          </w:p>
        </w:tc>
      </w:tr>
      <w:tr w14:paraId="48A1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86DE520">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16D602A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物理化学</w:t>
            </w:r>
          </w:p>
        </w:tc>
        <w:tc>
          <w:tcPr>
            <w:tcW w:w="3472" w:type="dxa"/>
            <w:noWrap w:val="0"/>
            <w:vAlign w:val="top"/>
          </w:tcPr>
          <w:p w14:paraId="120856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分析化学</w:t>
            </w:r>
          </w:p>
        </w:tc>
      </w:tr>
      <w:tr w14:paraId="4D86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0E20A13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1DDED0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生物化学</w:t>
            </w:r>
          </w:p>
        </w:tc>
        <w:tc>
          <w:tcPr>
            <w:tcW w:w="3472" w:type="dxa"/>
            <w:noWrap w:val="0"/>
            <w:vAlign w:val="top"/>
          </w:tcPr>
          <w:p w14:paraId="2D35D1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微生物学</w:t>
            </w:r>
          </w:p>
        </w:tc>
      </w:tr>
      <w:tr w14:paraId="1C35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7B92444">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4AD18A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药物化学</w:t>
            </w:r>
          </w:p>
        </w:tc>
        <w:tc>
          <w:tcPr>
            <w:tcW w:w="3472" w:type="dxa"/>
            <w:noWrap w:val="0"/>
            <w:vAlign w:val="top"/>
          </w:tcPr>
          <w:p w14:paraId="6938EA6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药剂学</w:t>
            </w:r>
          </w:p>
        </w:tc>
      </w:tr>
      <w:tr w14:paraId="334E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DBBE8FE">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FF2EC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药物分析</w:t>
            </w:r>
          </w:p>
        </w:tc>
        <w:tc>
          <w:tcPr>
            <w:tcW w:w="3472" w:type="dxa"/>
            <w:noWrap w:val="0"/>
            <w:vAlign w:val="top"/>
          </w:tcPr>
          <w:p w14:paraId="1DB46C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药事管理</w:t>
            </w:r>
          </w:p>
        </w:tc>
      </w:tr>
      <w:tr w14:paraId="3180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6A4BE44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cs="宋体" w:asciiTheme="minorEastAsia" w:hAnsiTheme="minorEastAsia"/>
                <w:sz w:val="24"/>
                <w:lang w:eastAsia="zh-CN"/>
              </w:rPr>
              <w:t>药物分析学</w:t>
            </w:r>
            <w:r>
              <w:rPr>
                <w:rFonts w:hint="eastAsia" w:eastAsia="宋体" w:cs="微软雅黑"/>
                <w:b/>
                <w:bCs/>
                <w:color w:val="000000"/>
                <w:sz w:val="24"/>
                <w:szCs w:val="24"/>
                <w:lang w:val="en-US" w:eastAsia="zh-CN" w:bidi="ar"/>
              </w:rPr>
              <w:t>专业课程设置</w:t>
            </w:r>
          </w:p>
        </w:tc>
      </w:tr>
      <w:tr w14:paraId="2C92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5228E49">
            <w:pPr>
              <w:rPr>
                <w:rFonts w:hint="eastAsia" w:eastAsia="宋体" w:cs="微软雅黑"/>
                <w:b/>
                <w:bCs/>
                <w:color w:val="000000"/>
                <w:sz w:val="21"/>
                <w:szCs w:val="21"/>
                <w:lang w:val="en-US" w:eastAsia="zh-CN" w:bidi="ar"/>
              </w:rPr>
            </w:pPr>
          </w:p>
          <w:p w14:paraId="146465D4">
            <w:pPr>
              <w:rPr>
                <w:rFonts w:hint="eastAsia" w:eastAsia="宋体" w:cs="微软雅黑"/>
                <w:b/>
                <w:bCs/>
                <w:color w:val="000000"/>
                <w:sz w:val="21"/>
                <w:szCs w:val="21"/>
                <w:lang w:val="en-US" w:eastAsia="zh-CN" w:bidi="ar"/>
              </w:rPr>
            </w:pPr>
          </w:p>
          <w:p w14:paraId="5C290189">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公共课</w:t>
            </w:r>
          </w:p>
        </w:tc>
        <w:tc>
          <w:tcPr>
            <w:tcW w:w="3660" w:type="dxa"/>
            <w:noWrap w:val="0"/>
            <w:vAlign w:val="top"/>
          </w:tcPr>
          <w:p w14:paraId="05BDBA7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4E19F84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科学伦理与学术规范</w:t>
            </w:r>
          </w:p>
        </w:tc>
      </w:tr>
      <w:tr w14:paraId="69FD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C1420F4">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0C97F912">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英语</w:t>
            </w:r>
          </w:p>
        </w:tc>
        <w:tc>
          <w:tcPr>
            <w:tcW w:w="3472" w:type="dxa"/>
            <w:noWrap w:val="0"/>
            <w:vAlign w:val="top"/>
          </w:tcPr>
          <w:p w14:paraId="13A593AC">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p>
        </w:tc>
      </w:tr>
      <w:tr w14:paraId="7A07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79E91451">
            <w:pPr>
              <w:rPr>
                <w:rFonts w:hint="eastAsia" w:eastAsia="宋体" w:cs="微软雅黑"/>
                <w:b w:val="0"/>
                <w:color w:val="000000"/>
                <w:sz w:val="21"/>
                <w:szCs w:val="21"/>
                <w:lang w:val="en-US" w:eastAsia="zh-CN" w:bidi="ar"/>
              </w:rPr>
            </w:pPr>
          </w:p>
          <w:p w14:paraId="40CD76C6">
            <w:pPr>
              <w:ind w:firstLine="211" w:firstLineChars="100"/>
              <w:rPr>
                <w:rFonts w:hint="eastAsia" w:eastAsia="宋体" w:cs="微软雅黑"/>
                <w:b/>
                <w:bCs/>
                <w:color w:val="000000"/>
                <w:sz w:val="21"/>
                <w:szCs w:val="21"/>
                <w:lang w:val="en-US" w:eastAsia="zh-CN" w:bidi="ar"/>
              </w:rPr>
            </w:pPr>
          </w:p>
          <w:p w14:paraId="6E6181AE">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2A2731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药物分析选论</w:t>
            </w:r>
          </w:p>
        </w:tc>
        <w:tc>
          <w:tcPr>
            <w:tcW w:w="3472" w:type="dxa"/>
            <w:noWrap w:val="0"/>
            <w:vAlign w:val="top"/>
          </w:tcPr>
          <w:p w14:paraId="1AA0DF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现代仪器分析</w:t>
            </w:r>
          </w:p>
        </w:tc>
      </w:tr>
      <w:tr w14:paraId="51542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4075A6AF">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7778A89B">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现代色谱分析技术‌</w:t>
            </w:r>
          </w:p>
        </w:tc>
        <w:tc>
          <w:tcPr>
            <w:tcW w:w="3472" w:type="dxa"/>
            <w:noWrap w:val="0"/>
            <w:vAlign w:val="top"/>
          </w:tcPr>
          <w:p w14:paraId="4E18D655">
            <w:pPr>
              <w:pStyle w:val="2"/>
              <w:widowControl/>
              <w:spacing w:before="225" w:beforeAutospacing="0" w:after="75" w:afterAutospacing="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色谱联用技术及应用</w:t>
            </w:r>
          </w:p>
        </w:tc>
      </w:tr>
      <w:tr w14:paraId="3F7D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63F822E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1D47C03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t>天然化合物结构研究法</w:t>
            </w:r>
          </w:p>
        </w:tc>
        <w:tc>
          <w:tcPr>
            <w:tcW w:w="3472" w:type="dxa"/>
            <w:noWrap w:val="0"/>
            <w:vAlign w:val="top"/>
          </w:tcPr>
          <w:p w14:paraId="67CFA9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4%B8%AD%E8%8D%AF%E5%88%86%E6%9E%90&amp;rsv_pq=efd875ad04efe87d&amp;oq=%E6%B1%9F%E8%A5%BF%E4%B8%AD%E5%8C%BB%E8%8D%AF%E5%A4%A7%E5%AD%A6%E8%8D%AF%E7%89%A9%E5%88%86%E6%9E%90%E5%AD%A6%E8%AF%BE%E7%A8%8B%E8%AE%BE%E7%BD%AE&amp;rsv_t=cfd4arLEFMCiy8L8saDwbtKkRG2hVmnZteBd1bEmdS4VzDe8Zp16mIunnbL9C3wxreIGxFA&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中药分析</w:t>
            </w:r>
            <w:r>
              <w:rPr>
                <w:rFonts w:hint="eastAsia" w:ascii="宋体" w:hAnsi="宋体" w:eastAsia="宋体" w:cs="微软雅黑"/>
                <w:b w:val="0"/>
                <w:color w:val="000000"/>
                <w:kern w:val="0"/>
                <w:sz w:val="21"/>
                <w:szCs w:val="21"/>
                <w:lang w:val="en-US" w:eastAsia="zh-CN" w:bidi="ar"/>
              </w:rPr>
              <w:fldChar w:fldCharType="end"/>
            </w:r>
            <w:r>
              <w:rPr>
                <w:rFonts w:hint="eastAsia" w:ascii="宋体" w:hAnsi="宋体" w:eastAsia="宋体" w:cs="微软雅黑"/>
                <w:b w:val="0"/>
                <w:color w:val="000000"/>
                <w:kern w:val="0"/>
                <w:sz w:val="21"/>
                <w:szCs w:val="21"/>
                <w:lang w:val="en-US" w:eastAsia="zh-CN" w:bidi="ar"/>
              </w:rPr>
              <w:t>‌</w:t>
            </w:r>
          </w:p>
        </w:tc>
      </w:tr>
      <w:tr w14:paraId="1B4F2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01C64D1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305EF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5%88%86%E6%9E%90%E5%8C%96%E5%AD%A6&amp;rsv_pq=efd875ad04efe87d&amp;oq=%E6%B1%9F%E8%A5%BF%E4%B8%AD%E5%8C%BB%E8%8D%AF%E5%A4%A7%E5%AD%A6%E8%8D%AF%E7%89%A9%E5%88%86%E6%9E%90%E5%AD%A6%E8%AF%BE%E7%A8%8B%E8%AE%BE%E7%BD%AE&amp;rsv_t=cfd4arLEFMCiy8L8saDwbtKkRG2hVmnZteBd1bEmdS4VzDe8Zp16mIunnbL9C3wxreIGxFA&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分析化学</w:t>
            </w:r>
            <w:r>
              <w:rPr>
                <w:rFonts w:hint="eastAsia" w:ascii="宋体" w:hAnsi="宋体" w:eastAsia="宋体" w:cs="微软雅黑"/>
                <w:b w:val="0"/>
                <w:color w:val="000000"/>
                <w:kern w:val="0"/>
                <w:sz w:val="21"/>
                <w:szCs w:val="21"/>
                <w:lang w:val="en-US" w:eastAsia="zh-CN" w:bidi="ar"/>
              </w:rPr>
              <w:fldChar w:fldCharType="end"/>
            </w:r>
          </w:p>
        </w:tc>
        <w:tc>
          <w:tcPr>
            <w:tcW w:w="3472" w:type="dxa"/>
            <w:noWrap w:val="0"/>
            <w:vAlign w:val="top"/>
          </w:tcPr>
          <w:p w14:paraId="6FAA4D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宋体" w:hAnsi="宋体" w:eastAsia="宋体" w:cs="微软雅黑"/>
                <w:b w:val="0"/>
                <w:color w:val="000000"/>
                <w:kern w:val="0"/>
                <w:sz w:val="21"/>
                <w:szCs w:val="21"/>
                <w:lang w:val="en-US" w:eastAsia="zh-CN" w:bidi="ar"/>
              </w:rPr>
            </w:pPr>
            <w:r>
              <w:rPr>
                <w:rFonts w:hint="eastAsia" w:ascii="宋体" w:hAnsi="宋体" w:eastAsia="宋体" w:cs="微软雅黑"/>
                <w:b w:val="0"/>
                <w:color w:val="000000"/>
                <w:kern w:val="0"/>
                <w:sz w:val="21"/>
                <w:szCs w:val="21"/>
                <w:lang w:val="en-US" w:eastAsia="zh-CN" w:bidi="ar"/>
              </w:rPr>
              <w:fldChar w:fldCharType="begin"/>
            </w:r>
            <w:r>
              <w:rPr>
                <w:rFonts w:hint="eastAsia" w:ascii="宋体" w:hAnsi="宋体" w:eastAsia="宋体" w:cs="微软雅黑"/>
                <w:b w:val="0"/>
                <w:color w:val="000000"/>
                <w:kern w:val="0"/>
                <w:sz w:val="21"/>
                <w:szCs w:val="21"/>
                <w:lang w:val="en-US" w:eastAsia="zh-CN" w:bidi="ar"/>
              </w:rPr>
              <w:instrText xml:space="preserve"> HYPERLINK "https://www.baidu.com/s?rsv_dl=re_dqa_generate&amp;sa=re_dqa_generate&amp;wd=%E8%8D%AF%E7%89%A9%E5%88%86%E6%9E%90&amp;rsv_pq=efd875ad04efe87d&amp;oq=%E6%B1%9F%E8%A5%BF%E4%B8%AD%E5%8C%BB%E8%8D%AF%E5%A4%A7%E5%AD%A6%E8%8D%AF%E7%89%A9%E5%88%86%E6%9E%90%E5%AD%A6%E8%AF%BE%E7%A8%8B%E8%AE%BE%E7%BD%AE&amp;rsv_t=cfd4arLEFMCiy8L8saDwbtKkRG2hVmnZteBd1bEmdS4VzDe8Zp16mIunnbL9C3wxreIGxFA&amp;tn=34046034_10_dg&amp;ie=utf-8" \t "https://www.baidu.com/_blank" </w:instrText>
            </w:r>
            <w:r>
              <w:rPr>
                <w:rFonts w:hint="eastAsia" w:ascii="宋体" w:hAnsi="宋体" w:eastAsia="宋体" w:cs="微软雅黑"/>
                <w:b w:val="0"/>
                <w:color w:val="000000"/>
                <w:kern w:val="0"/>
                <w:sz w:val="21"/>
                <w:szCs w:val="21"/>
                <w:lang w:val="en-US" w:eastAsia="zh-CN" w:bidi="ar"/>
              </w:rPr>
              <w:fldChar w:fldCharType="separate"/>
            </w:r>
            <w:r>
              <w:rPr>
                <w:rFonts w:hint="eastAsia" w:ascii="宋体" w:hAnsi="宋体" w:eastAsia="宋体" w:cs="微软雅黑"/>
                <w:b w:val="0"/>
                <w:color w:val="000000"/>
                <w:kern w:val="0"/>
                <w:sz w:val="21"/>
                <w:szCs w:val="21"/>
                <w:lang w:val="en-US" w:eastAsia="zh-CN" w:bidi="ar"/>
              </w:rPr>
              <w:t>药物分析</w:t>
            </w:r>
            <w:r>
              <w:rPr>
                <w:rFonts w:hint="eastAsia" w:ascii="宋体" w:hAnsi="宋体" w:eastAsia="宋体" w:cs="微软雅黑"/>
                <w:b w:val="0"/>
                <w:color w:val="000000"/>
                <w:kern w:val="0"/>
                <w:sz w:val="21"/>
                <w:szCs w:val="21"/>
                <w:lang w:val="en-US" w:eastAsia="zh-CN" w:bidi="ar"/>
              </w:rPr>
              <w:fldChar w:fldCharType="end"/>
            </w:r>
          </w:p>
        </w:tc>
      </w:tr>
    </w:tbl>
    <w:p w14:paraId="31ABB9C9">
      <w:pPr>
        <w:widowControl w:val="0"/>
        <w:numPr>
          <w:ilvl w:val="0"/>
          <w:numId w:val="0"/>
        </w:numPr>
        <w:spacing w:line="360" w:lineRule="auto"/>
        <w:contextualSpacing/>
        <w:jc w:val="center"/>
        <w:rPr>
          <w:rFonts w:hint="eastAsia" w:cs="宋体" w:asciiTheme="minorEastAsia" w:hAnsiTheme="minorEastAsia"/>
          <w:b w:val="0"/>
          <w:bCs w:val="0"/>
          <w:color w:val="000000" w:themeColor="text1"/>
          <w:sz w:val="21"/>
          <w:szCs w:val="21"/>
          <w:lang w:val="en-US" w:eastAsia="zh-CN"/>
          <w14:textFill>
            <w14:solidFill>
              <w14:schemeClr w14:val="tx1"/>
            </w14:solidFill>
          </w14:textFill>
        </w:rPr>
      </w:pPr>
    </w:p>
    <w:p w14:paraId="308347BE">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43E8761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宋体" w:asciiTheme="minorEastAsia" w:hAnsiTheme="minorEastAsia"/>
          <w:b/>
          <w:bCs/>
          <w:color w:val="000000" w:themeColor="text1"/>
          <w:sz w:val="24"/>
          <w:lang w:val="en-US" w:eastAsia="zh-CN"/>
          <w14:textFill>
            <w14:solidFill>
              <w14:schemeClr w14:val="tx1"/>
            </w14:solidFill>
          </w14:textFill>
        </w:rPr>
      </w:pPr>
    </w:p>
    <w:p w14:paraId="074AC5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六、报考条件</w:t>
      </w:r>
      <w:r>
        <w:rPr>
          <w:rFonts w:hint="eastAsia" w:cs="宋体" w:asciiTheme="minorEastAsia" w:hAnsiTheme="minorEastAsia"/>
          <w:b/>
          <w:bCs/>
          <w:color w:val="000000" w:themeColor="text1"/>
          <w:sz w:val="24"/>
          <w:lang w:eastAsia="zh-CN"/>
          <w14:textFill>
            <w14:solidFill>
              <w14:schemeClr w14:val="tx1"/>
            </w14:solidFill>
          </w14:textFill>
        </w:rPr>
        <w:t>：</w:t>
      </w:r>
    </w:p>
    <w:p w14:paraId="5EFF572B">
      <w:pPr>
        <w:pStyle w:val="12"/>
      </w:pPr>
      <w:r>
        <w:t>窗体顶端</w:t>
      </w:r>
    </w:p>
    <w:p w14:paraId="3A799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1、</w:t>
      </w:r>
      <w:r>
        <w:rPr>
          <w:rFonts w:hint="eastAsia" w:cs="仿宋_GB2312" w:asciiTheme="minorEastAsia" w:hAnsiTheme="minorEastAsia" w:eastAsiaTheme="minorEastAsia"/>
          <w:color w:val="000000"/>
          <w:kern w:val="0"/>
          <w:sz w:val="24"/>
          <w:szCs w:val="24"/>
          <w:lang w:val="en-US" w:eastAsia="zh-CN" w:bidi="ar-SA"/>
        </w:rPr>
        <w:t>拥护中国共产党的领导，思想政治素质好，遵纪守法，业务能力较强。</w:t>
      </w:r>
    </w:p>
    <w:p w14:paraId="762C69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2、</w:t>
      </w:r>
      <w:r>
        <w:rPr>
          <w:rFonts w:hint="eastAsia" w:cs="仿宋_GB2312" w:asciiTheme="minorEastAsia" w:hAnsiTheme="minorEastAsia" w:eastAsiaTheme="minorEastAsia"/>
          <w:color w:val="000000"/>
          <w:kern w:val="0"/>
          <w:sz w:val="24"/>
          <w:szCs w:val="24"/>
          <w:lang w:val="en-US" w:eastAsia="zh-CN" w:bidi="ar-SA"/>
        </w:rPr>
        <w:t>已获得学士学位，并在获得学士学位后工作三年以上；或无学士学位但已获得硕士或博士学位；或通过教育部留学服务中心认证的国（境）外学士、硕士或博士学位获得者。</w:t>
      </w:r>
    </w:p>
    <w:p w14:paraId="22BFFD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exact"/>
        <w:ind w:left="0" w:right="0" w:firstLine="480" w:firstLineChars="200"/>
        <w:jc w:val="left"/>
        <w:rPr>
          <w:rFonts w:hint="eastAsia" w:cs="仿宋_GB2312" w:asciiTheme="minorEastAsia" w:hAnsiTheme="minorEastAsia" w:eastAsiaTheme="minorEastAsia"/>
          <w:color w:val="000000"/>
          <w:kern w:val="0"/>
          <w:sz w:val="24"/>
          <w:szCs w:val="24"/>
          <w:lang w:val="en-US" w:eastAsia="zh-CN" w:bidi="ar-SA"/>
        </w:rPr>
      </w:pPr>
      <w:r>
        <w:rPr>
          <w:rFonts w:hint="eastAsia" w:cs="仿宋_GB2312" w:asciiTheme="minorEastAsia" w:hAnsiTheme="minorEastAsia"/>
          <w:color w:val="000000"/>
          <w:kern w:val="0"/>
          <w:sz w:val="24"/>
          <w:szCs w:val="24"/>
          <w:lang w:val="en-US" w:eastAsia="zh-CN" w:bidi="ar-SA"/>
        </w:rPr>
        <w:t>3、</w:t>
      </w:r>
      <w:r>
        <w:rPr>
          <w:rFonts w:hint="eastAsia" w:cs="仿宋_GB2312" w:asciiTheme="minorEastAsia" w:hAnsiTheme="minorEastAsia" w:eastAsiaTheme="minorEastAsia"/>
          <w:color w:val="000000"/>
          <w:kern w:val="0"/>
          <w:sz w:val="24"/>
          <w:szCs w:val="24"/>
          <w:lang w:val="en-US" w:eastAsia="zh-CN" w:bidi="ar-SA"/>
        </w:rPr>
        <w:t>身体健康，年龄一般不超过45周岁。</w:t>
      </w:r>
    </w:p>
    <w:p w14:paraId="7ECB6CDF">
      <w:pPr>
        <w:pStyle w:val="13"/>
      </w:pPr>
      <w:r>
        <w:t>窗体底端</w:t>
      </w:r>
    </w:p>
    <w:p w14:paraId="0E91A032">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58E8F26B">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32E5AB44">
      <w:pPr>
        <w:spacing w:line="360" w:lineRule="auto"/>
        <w:ind w:firstLine="482" w:firstLineChars="200"/>
        <w:contextualSpacing/>
        <w:jc w:val="left"/>
        <w:rPr>
          <w:rFonts w:hint="eastAsia" w:cs="宋体" w:asciiTheme="minorEastAsia" w:hAnsiTheme="minorEastAsia"/>
          <w:b/>
          <w:bCs/>
          <w:color w:val="FF0000"/>
          <w:sz w:val="24"/>
          <w:lang w:val="en-US" w:eastAsia="zh-CN"/>
        </w:rPr>
      </w:pPr>
      <w:bookmarkStart w:id="0" w:name="_GoBack"/>
      <w:bookmarkEnd w:id="0"/>
    </w:p>
    <w:p w14:paraId="307F35E5">
      <w:p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222AF7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00</w:t>
      </w:r>
      <w:r>
        <w:rPr>
          <w:rFonts w:hint="eastAsia" w:cs="仿宋_GB2312" w:asciiTheme="minorEastAsia" w:hAnsiTheme="minorEastAsia"/>
          <w:color w:val="000000"/>
        </w:rPr>
        <w:t>00元</w:t>
      </w:r>
    </w:p>
    <w:p w14:paraId="5B3DC2D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w:t>
      </w:r>
      <w:r>
        <w:rPr>
          <w:rFonts w:hint="eastAsia" w:cs="仿宋_GB2312" w:asciiTheme="minorEastAsia" w:hAnsiTheme="minorEastAsia"/>
          <w:color w:val="000000"/>
          <w:lang w:val="en-US" w:eastAsia="zh-CN"/>
        </w:rPr>
        <w:t>20</w:t>
      </w:r>
      <w:r>
        <w:rPr>
          <w:rFonts w:hint="eastAsia" w:cs="仿宋_GB2312" w:asciiTheme="minorEastAsia" w:hAnsiTheme="minorEastAsia"/>
          <w:color w:val="000000"/>
        </w:rPr>
        <w:t>000元</w:t>
      </w:r>
    </w:p>
    <w:p w14:paraId="4406010C">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p>
    <w:p w14:paraId="2CC969D2">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066E18E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jc w:val="left"/>
        <w:textAlignment w:val="auto"/>
        <w:rPr>
          <w:rFonts w:cs="宋体" w:asciiTheme="minorEastAsia" w:hAnsiTheme="minorEastAsia"/>
          <w:sz w:val="24"/>
        </w:rPr>
      </w:pPr>
      <w:r>
        <w:rPr>
          <w:rFonts w:hint="eastAsia" w:cs="宋体" w:asciiTheme="minorEastAsia" w:hAnsiTheme="minorEastAsia"/>
          <w:sz w:val="24"/>
        </w:rPr>
        <w:t>1、学习时间：学制</w:t>
      </w:r>
      <w:r>
        <w:rPr>
          <w:rFonts w:hint="eastAsia" w:cs="宋体" w:asciiTheme="minorEastAsia" w:hAnsiTheme="minorEastAsia"/>
          <w:sz w:val="24"/>
          <w:lang w:val="en-US" w:eastAsia="zh-CN"/>
        </w:rPr>
        <w:t>1-1.5</w:t>
      </w:r>
      <w:r>
        <w:rPr>
          <w:rFonts w:hint="eastAsia" w:cs="宋体" w:asciiTheme="minorEastAsia" w:hAnsiTheme="minorEastAsia"/>
          <w:sz w:val="24"/>
        </w:rPr>
        <w:t>年</w:t>
      </w:r>
    </w:p>
    <w:p w14:paraId="388E4D48">
      <w:pPr>
        <w:pStyle w:val="5"/>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contextualSpacing/>
        <w:jc w:val="both"/>
        <w:textAlignment w:val="auto"/>
        <w:rPr>
          <w:rFonts w:hint="default" w:cs="仿宋_GB2312" w:asciiTheme="minorEastAsia" w:hAnsiTheme="minorEastAsia"/>
          <w:color w:val="000000"/>
          <w:lang w:val="en-US"/>
        </w:rPr>
      </w:pPr>
      <w:r>
        <w:rPr>
          <w:rFonts w:hint="eastAsia" w:cs="宋体" w:asciiTheme="minorEastAsia" w:hAnsiTheme="minorEastAsia"/>
          <w:sz w:val="24"/>
        </w:rPr>
        <w:t>2、授课方式：</w:t>
      </w:r>
      <w:r>
        <w:rPr>
          <w:rFonts w:hint="eastAsia" w:asciiTheme="minorEastAsia" w:hAnsiTheme="minorEastAsia" w:cstheme="minorEastAsia"/>
          <w:sz w:val="24"/>
          <w:szCs w:val="24"/>
          <w:lang w:val="en-US" w:eastAsia="zh-CN"/>
        </w:rPr>
        <w:t>网络教学+1天面授</w:t>
      </w:r>
    </w:p>
    <w:p w14:paraId="57800070">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749F870B">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3816BD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1、《江西中医药大学在职人员以研究生毕业同等学力申请硕士学位报名登记表》（须申请者所在单位人事部门加盖公章，招生单位和研究生院盖章由学校统一盖章）</w:t>
      </w:r>
    </w:p>
    <w:p w14:paraId="41B1EA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2、同等学力攻读硕士学位统计表</w:t>
      </w:r>
    </w:p>
    <w:p w14:paraId="5D3DBA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3、有效期内的《教育部学历证书电子注册备案表》</w:t>
      </w:r>
    </w:p>
    <w:p w14:paraId="1F7F15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4、《教育部学位认证报告》</w:t>
      </w:r>
    </w:p>
    <w:p w14:paraId="365C16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5、入学须知</w:t>
      </w:r>
    </w:p>
    <w:p w14:paraId="7F4376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6、身份证、毕业证、学位证原件及复印件一份（毕业证和学位证书复印件上须加盖所在单位人事部门公章）</w:t>
      </w:r>
    </w:p>
    <w:p w14:paraId="4E2E47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cstheme="minorEastAsia"/>
          <w:kern w:val="0"/>
          <w:sz w:val="24"/>
          <w:szCs w:val="24"/>
          <w:lang w:val="en-US" w:eastAsia="zh-CN" w:bidi="ar-SA"/>
        </w:rPr>
        <w:t>7、</w:t>
      </w:r>
      <w:r>
        <w:rPr>
          <w:rFonts w:hint="eastAsia" w:asciiTheme="minorEastAsia" w:hAnsiTheme="minorEastAsia" w:eastAsiaTheme="minorEastAsia" w:cstheme="minorEastAsia"/>
          <w:kern w:val="0"/>
          <w:sz w:val="24"/>
          <w:szCs w:val="24"/>
          <w:lang w:val="en-US" w:eastAsia="zh-CN" w:bidi="ar-SA"/>
        </w:rPr>
        <w:t>一寸蓝底照片</w:t>
      </w:r>
    </w:p>
    <w:p w14:paraId="1032032E">
      <w:p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p>
    <w:p w14:paraId="6E4632F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十</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499BAD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kern w:val="0"/>
          <w:sz w:val="24"/>
          <w:szCs w:val="24"/>
          <w:lang w:val="en-US" w:eastAsia="zh-CN" w:bidi="ar-SA"/>
        </w:rPr>
        <w:t>申请人通过我校硕士研究生培养方案规定的课程考试、同等学力人员申请硕士学位外国语水平和学科综合水平全国统一考试等，可申请论文答辩。通过学位论文答辩，符合《中华人民共和国学位条例》和《中华人民共和国学位条例暂行实施办法》的要求、符合《江西中医药大学学位授予工作实施细则》规定，经校学位评定委员会评定，授予硕士学位。</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B3E5F">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7032625"/>
          <wp:effectExtent l="0" t="0" r="2540" b="15875"/>
          <wp:wrapNone/>
          <wp:docPr id="1" name="WordPictureWatermark42247" descr="029026c59c95180ca82de15f674db7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2247" descr="029026c59c95180ca82de15f674db76d"/>
                  <pic:cNvPicPr>
                    <a:picLocks noChangeAspect="1"/>
                  </pic:cNvPicPr>
                </pic:nvPicPr>
                <pic:blipFill>
                  <a:blip r:embed="rId1">
                    <a:lum bright="70000" contrast="-70000"/>
                  </a:blip>
                  <a:stretch>
                    <a:fillRect/>
                  </a:stretch>
                </pic:blipFill>
                <pic:spPr>
                  <a:xfrm>
                    <a:off x="0" y="0"/>
                    <a:ext cx="5274310" cy="70326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57736"/>
    <w:rsid w:val="03BA0D49"/>
    <w:rsid w:val="05CF5FA2"/>
    <w:rsid w:val="06163BD1"/>
    <w:rsid w:val="088F5575"/>
    <w:rsid w:val="0A742C74"/>
    <w:rsid w:val="10157736"/>
    <w:rsid w:val="1154735C"/>
    <w:rsid w:val="12527D3F"/>
    <w:rsid w:val="156404B5"/>
    <w:rsid w:val="166938A9"/>
    <w:rsid w:val="1840688C"/>
    <w:rsid w:val="188350F6"/>
    <w:rsid w:val="1B7238CA"/>
    <w:rsid w:val="1BF7155D"/>
    <w:rsid w:val="202A58A0"/>
    <w:rsid w:val="26A5092E"/>
    <w:rsid w:val="27C070A1"/>
    <w:rsid w:val="28971D87"/>
    <w:rsid w:val="2C864D5D"/>
    <w:rsid w:val="2F522D60"/>
    <w:rsid w:val="30B71989"/>
    <w:rsid w:val="357940C4"/>
    <w:rsid w:val="379279A1"/>
    <w:rsid w:val="38814FC6"/>
    <w:rsid w:val="3ACC4283"/>
    <w:rsid w:val="3C3519B4"/>
    <w:rsid w:val="3E9B7303"/>
    <w:rsid w:val="416808C4"/>
    <w:rsid w:val="43686B13"/>
    <w:rsid w:val="472E597E"/>
    <w:rsid w:val="478A78E0"/>
    <w:rsid w:val="485A1120"/>
    <w:rsid w:val="48FA0154"/>
    <w:rsid w:val="4BFB49C8"/>
    <w:rsid w:val="4E564138"/>
    <w:rsid w:val="4EEA0D24"/>
    <w:rsid w:val="4F7C5E20"/>
    <w:rsid w:val="4FF84D7B"/>
    <w:rsid w:val="501F754E"/>
    <w:rsid w:val="513B7615"/>
    <w:rsid w:val="519758C5"/>
    <w:rsid w:val="54790B80"/>
    <w:rsid w:val="57E24C8E"/>
    <w:rsid w:val="58562F86"/>
    <w:rsid w:val="58CD3A78"/>
    <w:rsid w:val="59BB7545"/>
    <w:rsid w:val="5AFA5E4B"/>
    <w:rsid w:val="5D0E613A"/>
    <w:rsid w:val="5D156F6C"/>
    <w:rsid w:val="5D467A6D"/>
    <w:rsid w:val="5F5D0E23"/>
    <w:rsid w:val="5F5D6357"/>
    <w:rsid w:val="608508AD"/>
    <w:rsid w:val="60AF1486"/>
    <w:rsid w:val="61587D6F"/>
    <w:rsid w:val="62B47B16"/>
    <w:rsid w:val="6392291C"/>
    <w:rsid w:val="6AE508C6"/>
    <w:rsid w:val="6AF9611F"/>
    <w:rsid w:val="6EA97E5C"/>
    <w:rsid w:val="700375EB"/>
    <w:rsid w:val="72E47114"/>
    <w:rsid w:val="741E6BF6"/>
    <w:rsid w:val="74C23A26"/>
    <w:rsid w:val="77040325"/>
    <w:rsid w:val="77C90C27"/>
    <w:rsid w:val="78B6524A"/>
    <w:rsid w:val="7F512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 w:type="paragraph" w:customStyle="1" w:styleId="12">
    <w:name w:val="_Style 10"/>
    <w:basedOn w:val="1"/>
    <w:next w:val="1"/>
    <w:qFormat/>
    <w:uiPriority w:val="0"/>
    <w:pPr>
      <w:pBdr>
        <w:bottom w:val="single" w:color="auto" w:sz="6" w:space="1"/>
      </w:pBdr>
      <w:jc w:val="center"/>
    </w:pPr>
    <w:rPr>
      <w:rFonts w:ascii="Arial" w:eastAsia="宋体"/>
      <w:vanish/>
      <w:sz w:val="16"/>
    </w:rPr>
  </w:style>
  <w:style w:type="paragraph" w:customStyle="1" w:styleId="13">
    <w:name w:val="_Style 11"/>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1933</Words>
  <Characters>1986</Characters>
  <Lines>0</Lines>
  <Paragraphs>0</Paragraphs>
  <TotalTime>19</TotalTime>
  <ScaleCrop>false</ScaleCrop>
  <LinksUpToDate>false</LinksUpToDate>
  <CharactersWithSpaces>1987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2026-02-13T03:07:00Z</dcterms:created>
  <dc:creator>Administrator</dc:creator>
  <cp:lastModifiedBy>Administrator</cp:lastModifiedBy>
  <dcterms:modified xsi:type="dcterms:W3CDTF">2026-02-14T03:04:52Z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4A57EA729C554ABBB2700B8BA22BEB79_11</vt:lpwstr>
  </property>
  <property fmtid="{D5CDD505-2E9C-101B-9397-08002B2CF9AE}" pid="4" name="KSOTemplateDocerSaveRecord">
    <vt:lpwstr>eyJoZGlkIjoiMjJkYmYyOGQwNjU2YTFjYjBlYWQzZDdlZjc2Nzk1ZWYifQ==</vt:lpwstr>
  </property>
</Properties>
</file>