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5E7FF4">
      <w:pPr>
        <w:spacing w:line="360" w:lineRule="auto"/>
        <w:contextualSpacing/>
        <w:jc w:val="center"/>
        <w:rPr>
          <w:rFonts w:hint="eastAsia" w:cs="宋体" w:asciiTheme="majorEastAsia" w:hAnsiTheme="majorEastAsia" w:eastAsiaTheme="majorEastAsia"/>
          <w:b/>
          <w:bCs/>
          <w:sz w:val="36"/>
          <w:szCs w:val="36"/>
        </w:rPr>
      </w:pPr>
      <w:r>
        <w:drawing>
          <wp:inline distT="0" distB="0" distL="114300" distR="114300">
            <wp:extent cx="5273675" cy="1640840"/>
            <wp:effectExtent l="0" t="0" r="3175" b="1651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5"/>
                    <a:stretch>
                      <a:fillRect/>
                    </a:stretch>
                  </pic:blipFill>
                  <pic:spPr>
                    <a:xfrm>
                      <a:off x="0" y="0"/>
                      <a:ext cx="5273675" cy="1640840"/>
                    </a:xfrm>
                    <a:prstGeom prst="rect">
                      <a:avLst/>
                    </a:prstGeom>
                    <a:noFill/>
                    <a:ln>
                      <a:noFill/>
                    </a:ln>
                  </pic:spPr>
                </pic:pic>
              </a:graphicData>
            </a:graphic>
          </wp:inline>
        </w:drawing>
      </w:r>
    </w:p>
    <w:p w14:paraId="4CA42236">
      <w:pPr>
        <w:jc w:val="center"/>
        <w:rPr>
          <w:rFonts w:hint="default" w:asciiTheme="minorEastAsia" w:hAnsiTheme="minorEastAsia" w:eastAsiaTheme="minorEastAsia" w:cstheme="minorEastAsia"/>
          <w:b/>
          <w:bCs/>
          <w:sz w:val="36"/>
          <w:szCs w:val="36"/>
          <w:lang w:val="en-US" w:eastAsia="zh-CN"/>
        </w:rPr>
      </w:pPr>
      <w:r>
        <w:rPr>
          <w:rFonts w:hint="eastAsia" w:asciiTheme="minorEastAsia" w:hAnsiTheme="minorEastAsia" w:cstheme="minorEastAsia"/>
          <w:b/>
          <w:bCs/>
          <w:sz w:val="36"/>
          <w:szCs w:val="36"/>
        </w:rPr>
        <w:t>同等学力申请硕士学位</w:t>
      </w:r>
      <w:r>
        <w:rPr>
          <w:rFonts w:hint="eastAsia" w:asciiTheme="minorEastAsia" w:hAnsiTheme="minorEastAsia" w:cstheme="minorEastAsia"/>
          <w:b/>
          <w:bCs/>
          <w:sz w:val="36"/>
          <w:szCs w:val="36"/>
          <w:lang w:val="en-US" w:eastAsia="zh-CN"/>
        </w:rPr>
        <w:t>人文学院中医翻译学专业</w:t>
      </w:r>
    </w:p>
    <w:p w14:paraId="5CA19DF4">
      <w:pPr>
        <w:tabs>
          <w:tab w:val="left" w:pos="2820"/>
        </w:tabs>
        <w:spacing w:line="360" w:lineRule="auto"/>
        <w:ind w:firstLine="1807" w:firstLineChars="500"/>
        <w:contextualSpacing/>
        <w:jc w:val="left"/>
        <w:rPr>
          <w:rFonts w:cs="宋体" w:asciiTheme="minorEastAsia" w:hAnsiTheme="minorEastAsia"/>
          <w:sz w:val="24"/>
        </w:rPr>
      </w:pPr>
      <w:r>
        <w:rPr>
          <w:rFonts w:hint="eastAsia" w:asciiTheme="minorEastAsia" w:hAnsiTheme="minorEastAsia" w:cstheme="minorEastAsia"/>
          <w:b/>
          <w:bCs/>
          <w:sz w:val="36"/>
          <w:szCs w:val="36"/>
        </w:rPr>
        <w:t>招生简章（学术型硕士学位）</w:t>
      </w:r>
    </w:p>
    <w:p w14:paraId="0A34DDE2">
      <w:pPr>
        <w:spacing w:line="360" w:lineRule="auto"/>
        <w:contextualSpacing/>
        <w:jc w:val="left"/>
        <w:rPr>
          <w:rFonts w:hint="eastAsia" w:cs="宋体" w:asciiTheme="minorEastAsia" w:hAnsiTheme="minorEastAsia"/>
          <w:b/>
          <w:bCs/>
          <w:color w:val="000000" w:themeColor="text1"/>
          <w:sz w:val="24"/>
          <w14:textFill>
            <w14:solidFill>
              <w14:schemeClr w14:val="tx1"/>
            </w14:solidFill>
          </w14:textFill>
        </w:rPr>
      </w:pPr>
    </w:p>
    <w:p w14:paraId="0584A1F5">
      <w:pPr>
        <w:spacing w:line="360" w:lineRule="auto"/>
        <w:contextualSpacing/>
        <w:jc w:val="left"/>
        <w:rPr>
          <w:rFonts w:hint="default" w:cs="宋体" w:asciiTheme="minorEastAsia" w:hAnsiTheme="minorEastAsia" w:eastAsia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14:textFill>
            <w14:solidFill>
              <w14:schemeClr w14:val="tx1"/>
            </w14:solidFill>
          </w14:textFill>
        </w:rPr>
        <w:t>一、</w:t>
      </w:r>
      <w:r>
        <w:rPr>
          <w:rFonts w:hint="eastAsia" w:cs="宋体" w:asciiTheme="minorEastAsia" w:hAnsiTheme="minorEastAsia"/>
          <w:b/>
          <w:bCs/>
          <w:color w:val="000000" w:themeColor="text1"/>
          <w:sz w:val="24"/>
          <w:lang w:val="en-US" w:eastAsia="zh-CN"/>
          <w14:textFill>
            <w14:solidFill>
              <w14:schemeClr w14:val="tx1"/>
            </w14:solidFill>
          </w14:textFill>
        </w:rPr>
        <w:t>院校简介：</w:t>
      </w:r>
    </w:p>
    <w:p w14:paraId="7533D04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宋体"/>
          <w:color w:val="auto"/>
          <w:sz w:val="24"/>
          <w:szCs w:val="24"/>
          <w:lang w:eastAsia="zh-CN"/>
        </w:rPr>
      </w:pPr>
      <w:r>
        <w:rPr>
          <w:rFonts w:ascii="宋体" w:hAnsi="宋体" w:eastAsia="宋体" w:cs="宋体"/>
          <w:sz w:val="24"/>
          <w:szCs w:val="24"/>
        </w:rPr>
        <w:t>江西中医药大学的前身可以追溯到1951年</w:t>
      </w:r>
      <w:r>
        <w:rPr>
          <w:rFonts w:ascii="宋体" w:hAnsi="宋体" w:eastAsia="宋体" w:cs="宋体"/>
          <w:color w:val="auto"/>
          <w:sz w:val="24"/>
          <w:szCs w:val="24"/>
        </w:rPr>
        <w:t>创办的</w:t>
      </w:r>
      <w:r>
        <w:rPr>
          <w:rFonts w:ascii="宋体" w:hAnsi="宋体" w:eastAsia="宋体" w:cs="宋体"/>
          <w:color w:val="auto"/>
          <w:sz w:val="24"/>
          <w:szCs w:val="24"/>
          <w:u w:val="none"/>
        </w:rPr>
        <w:fldChar w:fldCharType="begin"/>
      </w:r>
      <w:r>
        <w:rPr>
          <w:rFonts w:ascii="宋体" w:hAnsi="宋体" w:eastAsia="宋体" w:cs="宋体"/>
          <w:color w:val="auto"/>
          <w:sz w:val="24"/>
          <w:szCs w:val="24"/>
          <w:u w:val="none"/>
        </w:rPr>
        <w:instrText xml:space="preserve"> HYPERLINK "https://www.baidu.com/s?rsv_dl=re_dqa_generate&amp;sa=re_dqa_generate&amp;wd=%E6%B1%9F%E8%A5%BF%E8%8D%AF%E7%A7%91%E5%AD%A6%E6%A0%A1&amp;rsv_pq=f71077190557fc39&amp;oq=%E6%B1%9F%E8%A5%BF%E4%B8%AD%E5%8C%BB%E8%8D%AF%E5%A4%A7%E5%AD%A6%E4%B8%AD%E5%8C%BB%E8%8D%AF%E9%99%A2%E6%A0%A1%E7%AE%80%E4%BB%8B&amp;rsv_t=068ehIKwQWcl4Qh88x6j4WPToCQ4u6zWCGNZ8muHpZeUKyIrAPiVv5ZusPM&amp;tn=baidu&amp;ie=utf-8" \t "https://www.baidu.com/_blank" </w:instrText>
      </w:r>
      <w:r>
        <w:rPr>
          <w:rFonts w:ascii="宋体" w:hAnsi="宋体" w:eastAsia="宋体" w:cs="宋体"/>
          <w:color w:val="auto"/>
          <w:sz w:val="24"/>
          <w:szCs w:val="24"/>
          <w:u w:val="none"/>
        </w:rPr>
        <w:fldChar w:fldCharType="separate"/>
      </w:r>
      <w:r>
        <w:rPr>
          <w:rStyle w:val="10"/>
          <w:rFonts w:ascii="宋体" w:hAnsi="宋体" w:eastAsia="宋体" w:cs="宋体"/>
          <w:color w:val="auto"/>
          <w:sz w:val="24"/>
          <w:szCs w:val="24"/>
          <w:u w:val="none"/>
        </w:rPr>
        <w:t>江西药科学校</w:t>
      </w:r>
      <w:r>
        <w:rPr>
          <w:rFonts w:ascii="宋体" w:hAnsi="宋体" w:eastAsia="宋体" w:cs="宋体"/>
          <w:color w:val="auto"/>
          <w:sz w:val="24"/>
          <w:szCs w:val="24"/>
          <w:u w:val="none"/>
        </w:rPr>
        <w:fldChar w:fldCharType="end"/>
      </w:r>
      <w:r>
        <w:rPr>
          <w:rFonts w:ascii="宋体" w:hAnsi="宋体" w:eastAsia="宋体" w:cs="宋体"/>
          <w:color w:val="auto"/>
          <w:sz w:val="24"/>
          <w:szCs w:val="24"/>
          <w:u w:val="none"/>
        </w:rPr>
        <w:t>和1953年创办的江西中医进修学校。1959年成立</w:t>
      </w:r>
      <w:r>
        <w:rPr>
          <w:rFonts w:ascii="宋体" w:hAnsi="宋体" w:eastAsia="宋体" w:cs="宋体"/>
          <w:color w:val="auto"/>
          <w:sz w:val="24"/>
          <w:szCs w:val="24"/>
          <w:u w:val="none"/>
        </w:rPr>
        <w:fldChar w:fldCharType="begin"/>
      </w:r>
      <w:r>
        <w:rPr>
          <w:rFonts w:ascii="宋体" w:hAnsi="宋体" w:eastAsia="宋体" w:cs="宋体"/>
          <w:color w:val="auto"/>
          <w:sz w:val="24"/>
          <w:szCs w:val="24"/>
          <w:u w:val="none"/>
        </w:rPr>
        <w:instrText xml:space="preserve"> HYPERLINK "https://www.baidu.com/s?rsv_dl=re_dqa_generate&amp;sa=re_dqa_generate&amp;wd=%E6%B1%9F%E8%A5%BF%E4%B8%AD%E5%8C%BB%E5%AD%A6%E9%99%A2&amp;rsv_pq=f71077190557fc39&amp;oq=%E6%B1%9F%E8%A5%BF%E4%B8%AD%E5%8C%BB%E8%8D%AF%E5%A4%A7%E5%AD%A6%E4%B8%AD%E5%8C%BB%E8%8D%AF%E9%99%A2%E6%A0%A1%E7%AE%80%E4%BB%8B&amp;rsv_t=068ehIKwQWcl4Qh88x6j4WPToCQ4u6zWCGNZ8muHpZeUKyIrAPiVv5ZusPM&amp;tn=baidu&amp;ie=utf-8" \t "https://www.baidu.com/_blank" </w:instrText>
      </w:r>
      <w:r>
        <w:rPr>
          <w:rFonts w:ascii="宋体" w:hAnsi="宋体" w:eastAsia="宋体" w:cs="宋体"/>
          <w:color w:val="auto"/>
          <w:sz w:val="24"/>
          <w:szCs w:val="24"/>
          <w:u w:val="none"/>
        </w:rPr>
        <w:fldChar w:fldCharType="separate"/>
      </w:r>
      <w:r>
        <w:rPr>
          <w:rStyle w:val="10"/>
          <w:rFonts w:ascii="宋体" w:hAnsi="宋体" w:eastAsia="宋体" w:cs="宋体"/>
          <w:color w:val="auto"/>
          <w:sz w:val="24"/>
          <w:szCs w:val="24"/>
          <w:u w:val="none"/>
        </w:rPr>
        <w:t>江西中医学院</w:t>
      </w:r>
      <w:r>
        <w:rPr>
          <w:rFonts w:ascii="宋体" w:hAnsi="宋体" w:eastAsia="宋体" w:cs="宋体"/>
          <w:color w:val="auto"/>
          <w:sz w:val="24"/>
          <w:szCs w:val="24"/>
          <w:u w:val="none"/>
        </w:rPr>
        <w:fldChar w:fldCharType="end"/>
      </w:r>
      <w:r>
        <w:rPr>
          <w:rFonts w:ascii="宋体" w:hAnsi="宋体" w:eastAsia="宋体" w:cs="宋体"/>
          <w:color w:val="auto"/>
          <w:sz w:val="24"/>
          <w:szCs w:val="24"/>
          <w:u w:val="none"/>
        </w:rPr>
        <w:t>，2</w:t>
      </w:r>
      <w:r>
        <w:rPr>
          <w:rFonts w:ascii="宋体" w:hAnsi="宋体" w:eastAsia="宋体" w:cs="宋体"/>
          <w:color w:val="auto"/>
          <w:sz w:val="24"/>
          <w:szCs w:val="24"/>
        </w:rPr>
        <w:t>013年更名为江西中医药大学</w:t>
      </w:r>
      <w:r>
        <w:rPr>
          <w:rFonts w:hint="eastAsia" w:ascii="宋体" w:hAnsi="宋体" w:eastAsia="宋体" w:cs="宋体"/>
          <w:color w:val="auto"/>
          <w:sz w:val="24"/>
          <w:szCs w:val="24"/>
          <w:lang w:eastAsia="zh-CN"/>
        </w:rPr>
        <w:t>。</w:t>
      </w:r>
    </w:p>
    <w:p w14:paraId="3ADEB6C7">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宋体"/>
          <w:color w:val="auto"/>
          <w:kern w:val="2"/>
          <w:sz w:val="24"/>
          <w:szCs w:val="24"/>
          <w:u w:val="none"/>
          <w:lang w:val="en-US" w:eastAsia="zh-CN" w:bidi="ar-SA"/>
        </w:rPr>
      </w:pPr>
      <w:r>
        <w:rPr>
          <w:rFonts w:ascii="宋体" w:hAnsi="宋体" w:eastAsia="宋体" w:cs="宋体"/>
          <w:color w:val="auto"/>
          <w:kern w:val="2"/>
          <w:sz w:val="24"/>
          <w:szCs w:val="24"/>
          <w:u w:val="none"/>
          <w:lang w:val="en-US" w:eastAsia="zh-CN" w:bidi="ar-SA"/>
        </w:rPr>
        <w:t>学院认真贯彻党的教育方针，落实立德树人根本任务，坚持党的全面领导，以高质量的党建引领学院各项事业发展。以“特色立院、人才强院、质量兴院”为战略，明确“传播中医药文化、凸显音乐学、心理学在医疗保健及康复领域作用”的定位，立足培养具有完备的人文、科学与职业素养，知识、能力、素质协调发展的实践型创新型创业型人才。</w:t>
      </w:r>
    </w:p>
    <w:p w14:paraId="38442D70">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宋体"/>
          <w:color w:val="auto"/>
          <w:sz w:val="24"/>
          <w:szCs w:val="24"/>
          <w:u w:val="none"/>
          <w:lang w:eastAsia="zh-CN"/>
        </w:rPr>
      </w:pPr>
      <w:r>
        <w:rPr>
          <w:rFonts w:ascii="宋体" w:hAnsi="宋体" w:eastAsia="宋体" w:cs="宋体"/>
          <w:color w:val="auto"/>
          <w:kern w:val="2"/>
          <w:sz w:val="24"/>
          <w:szCs w:val="24"/>
          <w:u w:val="none"/>
          <w:lang w:val="en-US" w:eastAsia="zh-CN" w:bidi="ar-SA"/>
        </w:rPr>
        <w:t>近年来，在学科建设、人才培养等方面取得良好成绩，办学水平不断提高，服务社会能力也获得较大发展。承担学校中医药相关学术成果、资料的翻译工作。并为中医药相关的国际会议提供翻译服务，先后承担了两届太湖论坛中医药高级别会议和首届世界中医药联合会夏季峰会的同传、交传、笔译工作。同时，面向各级医院、康复机构、社区、中小学校的心理咨询、音乐治疗等服务也获得广泛认可。</w:t>
      </w:r>
    </w:p>
    <w:p w14:paraId="7721C7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lang w:val="en-US" w:eastAsia="zh-CN"/>
        </w:rPr>
        <w:t>为培养更多医学领域人才。江西中医药大学决定面向全国开设中医翻译学</w:t>
      </w:r>
      <w:r>
        <w:rPr>
          <w:rFonts w:hint="eastAsia" w:ascii="宋体" w:hAnsi="宋体" w:eastAsia="宋体" w:cs="宋体"/>
          <w:i w:val="0"/>
          <w:iCs w:val="0"/>
          <w:caps w:val="0"/>
          <w:color w:val="000000"/>
          <w:spacing w:val="0"/>
          <w:sz w:val="24"/>
          <w:szCs w:val="24"/>
          <w:shd w:val="clear" w:fill="FFFFFF"/>
        </w:rPr>
        <w:t>专业同等学</w:t>
      </w:r>
      <w:r>
        <w:rPr>
          <w:rFonts w:hint="eastAsia" w:ascii="宋体" w:hAnsi="宋体" w:eastAsia="宋体" w:cs="宋体"/>
          <w:i w:val="0"/>
          <w:iCs w:val="0"/>
          <w:caps w:val="0"/>
          <w:color w:val="000000"/>
          <w:spacing w:val="0"/>
          <w:sz w:val="24"/>
          <w:szCs w:val="24"/>
          <w:shd w:val="clear" w:fill="FFFFFF"/>
          <w:lang w:val="en-US" w:eastAsia="zh-CN"/>
        </w:rPr>
        <w:t>高层次</w:t>
      </w:r>
      <w:r>
        <w:rPr>
          <w:rFonts w:hint="eastAsia" w:ascii="宋体" w:hAnsi="宋体" w:eastAsia="宋体" w:cs="宋体"/>
          <w:i w:val="0"/>
          <w:iCs w:val="0"/>
          <w:caps w:val="0"/>
          <w:color w:val="000000"/>
          <w:spacing w:val="0"/>
          <w:sz w:val="24"/>
          <w:szCs w:val="24"/>
          <w:shd w:val="clear" w:fill="FFFFFF"/>
        </w:rPr>
        <w:t>力申请硕士学位课程研修班。</w:t>
      </w:r>
    </w:p>
    <w:p w14:paraId="00489A0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p>
    <w:p w14:paraId="245D562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p>
    <w:p w14:paraId="706BCD1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p>
    <w:p w14:paraId="0EF357A8">
      <w:pPr>
        <w:numPr>
          <w:ilvl w:val="0"/>
          <w:numId w:val="1"/>
        </w:numPr>
        <w:spacing w:line="360" w:lineRule="auto"/>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培养目标：</w:t>
      </w:r>
    </w:p>
    <w:p w14:paraId="4119D94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本专业培养</w:t>
      </w:r>
      <w:r>
        <w:rPr>
          <w:rFonts w:ascii="宋体" w:hAnsi="宋体" w:eastAsia="宋体" w:cs="宋体"/>
          <w:sz w:val="24"/>
          <w:szCs w:val="24"/>
        </w:rPr>
        <w:t>能够进行中医药术语的标准化翻译，了解中医药典籍的翻译现状和策略，并能将中医药文化传播到国际舞台</w:t>
      </w:r>
      <w:r>
        <w:rPr>
          <w:rFonts w:hint="eastAsia" w:ascii="宋体" w:hAnsi="宋体" w:eastAsia="宋体" w:cs="宋体"/>
          <w:sz w:val="24"/>
          <w:szCs w:val="24"/>
          <w:lang w:eastAsia="zh-CN"/>
        </w:rPr>
        <w:t>。</w:t>
      </w:r>
      <w:r>
        <w:rPr>
          <w:rFonts w:ascii="宋体" w:hAnsi="宋体" w:eastAsia="宋体" w:cs="宋体"/>
          <w:sz w:val="24"/>
          <w:szCs w:val="24"/>
        </w:rPr>
        <w:t>‌</w:t>
      </w:r>
    </w:p>
    <w:p w14:paraId="26129F4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p>
    <w:p w14:paraId="66857395">
      <w:pPr>
        <w:numPr>
          <w:ilvl w:val="0"/>
          <w:numId w:val="1"/>
        </w:numPr>
        <w:spacing w:line="360" w:lineRule="auto"/>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报读优势：</w:t>
      </w:r>
    </w:p>
    <w:p w14:paraId="753C3CE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cs="宋体" w:asciiTheme="minorEastAsia" w:hAnsiTheme="minorEastAsia"/>
          <w:sz w:val="24"/>
        </w:rPr>
        <w:t>【学科</w:t>
      </w:r>
      <w:r>
        <w:rPr>
          <w:rFonts w:hint="eastAsia" w:cs="宋体" w:asciiTheme="minorEastAsia" w:hAnsiTheme="minorEastAsia"/>
          <w:sz w:val="24"/>
          <w:lang w:val="en-US" w:eastAsia="zh-CN"/>
        </w:rPr>
        <w:t>发展</w:t>
      </w:r>
      <w:r>
        <w:rPr>
          <w:rFonts w:hint="eastAsia" w:cs="宋体" w:asciiTheme="minorEastAsia" w:hAnsiTheme="minorEastAsia"/>
          <w:sz w:val="24"/>
        </w:rPr>
        <w:t>】</w:t>
      </w:r>
      <w:r>
        <w:rPr>
          <w:rFonts w:ascii="宋体" w:hAnsi="宋体" w:eastAsia="宋体" w:cs="宋体"/>
          <w:sz w:val="24"/>
          <w:szCs w:val="24"/>
        </w:rPr>
        <w:t>近30年来，我国中医术语英译标准化经历了多个阶段，产生了大量与中医术语英译标准相关的词典、教材和代表性论著‌</w:t>
      </w:r>
      <w:r>
        <w:rPr>
          <w:rFonts w:hint="eastAsia" w:ascii="宋体" w:hAnsi="宋体" w:eastAsia="宋体" w:cs="宋体"/>
          <w:sz w:val="24"/>
          <w:szCs w:val="24"/>
          <w:lang w:eastAsia="zh-CN"/>
        </w:rPr>
        <w:t>。</w:t>
      </w:r>
    </w:p>
    <w:p w14:paraId="1923B08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cs="宋体" w:asciiTheme="minorEastAsia" w:hAnsiTheme="minorEastAsia"/>
          <w:sz w:val="24"/>
        </w:rPr>
      </w:pPr>
      <w:r>
        <w:rPr>
          <w:rFonts w:cs="宋体" w:asciiTheme="minorEastAsia" w:hAnsiTheme="minorEastAsia"/>
          <w:sz w:val="24"/>
        </w:rPr>
        <w:t>【免试入学】学员满足报读条件免试入学，</w:t>
      </w:r>
      <w:r>
        <w:rPr>
          <w:rFonts w:hint="eastAsia" w:cs="宋体" w:asciiTheme="minorEastAsia" w:hAnsiTheme="minorEastAsia"/>
          <w:sz w:val="24"/>
          <w:lang w:val="en-US" w:eastAsia="zh-CN"/>
        </w:rPr>
        <w:t>符合报考条件即可报考，先学习后考试</w:t>
      </w:r>
      <w:r>
        <w:rPr>
          <w:rFonts w:cs="宋体" w:asciiTheme="minorEastAsia" w:hAnsiTheme="minorEastAsia"/>
          <w:sz w:val="24"/>
        </w:rPr>
        <w:t>；</w:t>
      </w:r>
    </w:p>
    <w:p w14:paraId="3C74396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sz w:val="24"/>
        </w:rPr>
      </w:pPr>
      <w:r>
        <w:rPr>
          <w:rFonts w:hint="eastAsia" w:cs="宋体" w:asciiTheme="minorEastAsia" w:hAnsiTheme="minorEastAsia"/>
          <w:sz w:val="24"/>
        </w:rPr>
        <w:t>【</w:t>
      </w:r>
      <w:r>
        <w:rPr>
          <w:rFonts w:hint="eastAsia" w:cs="宋体" w:asciiTheme="minorEastAsia" w:hAnsiTheme="minorEastAsia"/>
          <w:sz w:val="24"/>
          <w:lang w:val="en-US" w:eastAsia="zh-CN"/>
        </w:rPr>
        <w:t>申硕</w:t>
      </w:r>
      <w:r>
        <w:rPr>
          <w:rFonts w:hint="eastAsia" w:cs="宋体" w:asciiTheme="minorEastAsia" w:hAnsiTheme="minorEastAsia"/>
          <w:sz w:val="24"/>
        </w:rPr>
        <w:t>仅考</w:t>
      </w:r>
      <w:r>
        <w:rPr>
          <w:rFonts w:hint="eastAsia" w:cs="宋体" w:asciiTheme="minorEastAsia" w:hAnsiTheme="minorEastAsia"/>
          <w:sz w:val="24"/>
          <w:lang w:val="en-US" w:eastAsia="zh-CN"/>
        </w:rPr>
        <w:t>2</w:t>
      </w:r>
      <w:r>
        <w:rPr>
          <w:rFonts w:hint="eastAsia" w:cs="宋体" w:asciiTheme="minorEastAsia" w:hAnsiTheme="minorEastAsia"/>
          <w:sz w:val="24"/>
        </w:rPr>
        <w:t>科】</w:t>
      </w:r>
      <w:r>
        <w:rPr>
          <w:rFonts w:hint="eastAsia" w:cs="宋体" w:asciiTheme="minorEastAsia" w:hAnsiTheme="minorEastAsia"/>
          <w:sz w:val="24"/>
          <w:lang w:val="en-US" w:eastAsia="zh-CN"/>
        </w:rPr>
        <w:t>全国统考仅考英语1门</w:t>
      </w:r>
      <w:r>
        <w:rPr>
          <w:rFonts w:hint="eastAsia" w:cs="宋体" w:asciiTheme="minorEastAsia" w:hAnsiTheme="minorEastAsia"/>
          <w:sz w:val="24"/>
        </w:rPr>
        <w:t>，60分合格，难度较低；</w:t>
      </w:r>
    </w:p>
    <w:p w14:paraId="4B4C514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sz w:val="24"/>
        </w:rPr>
      </w:pPr>
      <w:r>
        <w:rPr>
          <w:rFonts w:hint="eastAsia" w:cs="宋体" w:asciiTheme="minorEastAsia" w:hAnsiTheme="minorEastAsia"/>
          <w:sz w:val="24"/>
        </w:rPr>
        <w:t>【考试机会多】学员有</w:t>
      </w:r>
      <w:r>
        <w:rPr>
          <w:rFonts w:hint="eastAsia" w:cs="宋体" w:asciiTheme="minorEastAsia" w:hAnsiTheme="minorEastAsia"/>
          <w:sz w:val="24"/>
          <w:lang w:val="en-US" w:eastAsia="zh-CN"/>
        </w:rPr>
        <w:t>5</w:t>
      </w:r>
      <w:r>
        <w:rPr>
          <w:rFonts w:hint="eastAsia" w:cs="宋体" w:asciiTheme="minorEastAsia" w:hAnsiTheme="minorEastAsia"/>
          <w:sz w:val="24"/>
        </w:rPr>
        <w:t>次申硕考试机会，</w:t>
      </w:r>
      <w:r>
        <w:rPr>
          <w:rFonts w:hint="eastAsia" w:cs="宋体" w:asciiTheme="minorEastAsia" w:hAnsiTheme="minorEastAsia"/>
          <w:sz w:val="24"/>
          <w:lang w:val="en-US" w:eastAsia="zh-CN"/>
        </w:rPr>
        <w:t>多次机会考</w:t>
      </w:r>
      <w:r>
        <w:rPr>
          <w:rFonts w:hint="eastAsia" w:cs="宋体" w:asciiTheme="minorEastAsia" w:hAnsiTheme="minorEastAsia"/>
          <w:sz w:val="24"/>
        </w:rPr>
        <w:t>大大提升申硕通过率；</w:t>
      </w:r>
    </w:p>
    <w:p w14:paraId="55C725B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cstheme="minorEastAsia"/>
          <w:sz w:val="24"/>
          <w:szCs w:val="24"/>
          <w:lang w:val="en-US" w:eastAsia="zh-CN"/>
        </w:rPr>
      </w:pPr>
      <w:r>
        <w:rPr>
          <w:rFonts w:hint="eastAsia" w:cs="宋体" w:asciiTheme="minorEastAsia" w:hAnsiTheme="minorEastAsia"/>
          <w:sz w:val="24"/>
        </w:rPr>
        <w:t>【灵活授课】</w:t>
      </w:r>
      <w:r>
        <w:rPr>
          <w:rFonts w:hint="eastAsia" w:asciiTheme="minorEastAsia" w:hAnsiTheme="minorEastAsia" w:cstheme="minorEastAsia"/>
          <w:sz w:val="24"/>
          <w:szCs w:val="24"/>
          <w:lang w:val="en-US" w:eastAsia="zh-CN"/>
        </w:rPr>
        <w:t>网络授课教学+仅1天面授，方便异地学员报读。</w:t>
      </w:r>
    </w:p>
    <w:p w14:paraId="4396DF4C">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jc w:val="left"/>
        <w:textAlignment w:val="auto"/>
        <w:rPr>
          <w:rFonts w:cs="宋体" w:asciiTheme="minorEastAsia" w:hAnsiTheme="minorEastAsia"/>
          <w:sz w:val="24"/>
        </w:rPr>
      </w:pPr>
      <w:r>
        <w:rPr>
          <w:rFonts w:hint="eastAsia" w:cs="宋体" w:asciiTheme="minorEastAsia" w:hAnsiTheme="minorEastAsia"/>
          <w:sz w:val="24"/>
        </w:rPr>
        <w:t>【拓展人脉】不定期举办线上主题讲座、开展小组论坛话题讨论，为学员提供更多的交流机会与人际拓展平台。</w:t>
      </w:r>
    </w:p>
    <w:p w14:paraId="474D3F3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sz w:val="24"/>
          <w:szCs w:val="24"/>
        </w:rPr>
      </w:pPr>
    </w:p>
    <w:p w14:paraId="6166B856">
      <w:pPr>
        <w:numPr>
          <w:ilvl w:val="0"/>
          <w:numId w:val="1"/>
        </w:numPr>
        <w:spacing w:line="360" w:lineRule="auto"/>
        <w:ind w:left="0" w:leftChars="0" w:firstLine="0" w:firstLineChars="0"/>
        <w:contextualSpacing/>
        <w:jc w:val="left"/>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课程设置</w:t>
      </w:r>
      <w:r>
        <w:rPr>
          <w:rFonts w:hint="eastAsia" w:cs="宋体" w:asciiTheme="minorEastAsia" w:hAnsiTheme="minorEastAsia"/>
          <w:b/>
          <w:bCs/>
          <w:color w:val="000000" w:themeColor="text1"/>
          <w:sz w:val="24"/>
          <w:lang w:eastAsia="zh-CN"/>
          <w14:textFill>
            <w14:solidFill>
              <w14:schemeClr w14:val="tx1"/>
            </w14:solidFill>
          </w14:textFill>
        </w:rPr>
        <w:t>：</w:t>
      </w:r>
    </w:p>
    <w:p w14:paraId="75EBD662">
      <w:pPr>
        <w:widowControl w:val="0"/>
        <w:numPr>
          <w:ilvl w:val="0"/>
          <w:numId w:val="0"/>
        </w:numPr>
        <w:spacing w:line="360" w:lineRule="auto"/>
        <w:contextualSpacing/>
        <w:jc w:val="left"/>
        <w:rPr>
          <w:rFonts w:hint="eastAsia" w:cs="宋体" w:asciiTheme="minorEastAsia" w:hAnsiTheme="minorEastAsia"/>
          <w:b/>
          <w:bCs/>
          <w:color w:val="000000" w:themeColor="text1"/>
          <w:sz w:val="24"/>
          <w:lang w:eastAsia="zh-CN"/>
          <w14:textFill>
            <w14:solidFill>
              <w14:schemeClr w14:val="tx1"/>
            </w14:solidFill>
          </w14:textFill>
        </w:rPr>
      </w:pPr>
    </w:p>
    <w:tbl>
      <w:tblPr>
        <w:tblStyle w:val="6"/>
        <w:tblW w:w="85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9"/>
        <w:gridCol w:w="3660"/>
        <w:gridCol w:w="3472"/>
      </w:tblGrid>
      <w:tr w14:paraId="1EBD8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1" w:type="dxa"/>
            <w:gridSpan w:val="3"/>
            <w:noWrap w:val="0"/>
            <w:vAlign w:val="top"/>
          </w:tcPr>
          <w:p w14:paraId="18D607AE">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宋体"/>
                <w:i w:val="0"/>
                <w:iCs w:val="0"/>
                <w:caps w:val="0"/>
                <w:color w:val="000000"/>
                <w:spacing w:val="0"/>
                <w:sz w:val="24"/>
                <w:szCs w:val="24"/>
                <w:shd w:val="clear" w:fill="FFFFFF"/>
                <w:lang w:val="en-US" w:eastAsia="zh-CN"/>
              </w:rPr>
              <w:t>中医翻译学</w:t>
            </w:r>
            <w:r>
              <w:rPr>
                <w:rFonts w:hint="eastAsia" w:eastAsia="宋体" w:cs="微软雅黑"/>
                <w:b/>
                <w:bCs/>
                <w:color w:val="000000"/>
                <w:sz w:val="24"/>
                <w:szCs w:val="24"/>
                <w:lang w:val="en-US" w:eastAsia="zh-CN" w:bidi="ar"/>
              </w:rPr>
              <w:t>专业课程设置</w:t>
            </w:r>
          </w:p>
        </w:tc>
      </w:tr>
      <w:tr w14:paraId="07D8D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389" w:type="dxa"/>
            <w:noWrap w:val="0"/>
            <w:vAlign w:val="top"/>
          </w:tcPr>
          <w:p w14:paraId="029834ED">
            <w:pPr>
              <w:jc w:val="center"/>
              <w:rPr>
                <w:rFonts w:hint="eastAsia" w:eastAsia="宋体" w:cs="微软雅黑"/>
                <w:b/>
                <w:bCs/>
                <w:color w:val="000000"/>
                <w:sz w:val="21"/>
                <w:szCs w:val="21"/>
                <w:lang w:val="en-US" w:eastAsia="zh-CN" w:bidi="ar"/>
              </w:rPr>
            </w:pPr>
          </w:p>
          <w:p w14:paraId="64F3460B">
            <w:pPr>
              <w:jc w:val="center"/>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公共课</w:t>
            </w:r>
          </w:p>
        </w:tc>
        <w:tc>
          <w:tcPr>
            <w:tcW w:w="3660" w:type="dxa"/>
            <w:noWrap w:val="0"/>
            <w:vAlign w:val="top"/>
          </w:tcPr>
          <w:p w14:paraId="4F4D889B">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中国特色社会主义理论与实践</w:t>
            </w:r>
          </w:p>
        </w:tc>
        <w:tc>
          <w:tcPr>
            <w:tcW w:w="3472" w:type="dxa"/>
            <w:noWrap w:val="0"/>
            <w:vAlign w:val="top"/>
          </w:tcPr>
          <w:p w14:paraId="3470AF0F">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kern w:val="0"/>
                <w:sz w:val="21"/>
                <w:szCs w:val="21"/>
                <w:lang w:val="en-US" w:eastAsia="zh-CN" w:bidi="ar"/>
              </w:rPr>
              <w:t>英语</w:t>
            </w:r>
          </w:p>
        </w:tc>
      </w:tr>
      <w:tr w14:paraId="42754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54305667">
            <w:pPr>
              <w:rPr>
                <w:rFonts w:hint="eastAsia" w:eastAsia="宋体" w:cs="微软雅黑"/>
                <w:b w:val="0"/>
                <w:color w:val="000000"/>
                <w:sz w:val="21"/>
                <w:szCs w:val="21"/>
                <w:lang w:val="en-US" w:eastAsia="zh-CN" w:bidi="ar"/>
              </w:rPr>
            </w:pPr>
          </w:p>
          <w:p w14:paraId="21300696">
            <w:pPr>
              <w:ind w:firstLine="211" w:firstLineChars="100"/>
              <w:rPr>
                <w:rFonts w:hint="eastAsia" w:eastAsia="宋体" w:cs="微软雅黑"/>
                <w:b/>
                <w:bCs/>
                <w:color w:val="000000"/>
                <w:sz w:val="21"/>
                <w:szCs w:val="21"/>
                <w:lang w:val="en-US" w:eastAsia="zh-CN" w:bidi="ar"/>
              </w:rPr>
            </w:pPr>
          </w:p>
          <w:p w14:paraId="7DDD176B">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专业课</w:t>
            </w:r>
          </w:p>
        </w:tc>
        <w:tc>
          <w:tcPr>
            <w:tcW w:w="3660" w:type="dxa"/>
            <w:noWrap w:val="0"/>
            <w:vAlign w:val="top"/>
          </w:tcPr>
          <w:p w14:paraId="474779C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中医经典研究</w:t>
            </w:r>
          </w:p>
        </w:tc>
        <w:tc>
          <w:tcPr>
            <w:tcW w:w="3472" w:type="dxa"/>
            <w:noWrap w:val="0"/>
            <w:vAlign w:val="top"/>
          </w:tcPr>
          <w:p w14:paraId="484FE54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翻译理论与实践</w:t>
            </w:r>
          </w:p>
        </w:tc>
      </w:tr>
      <w:tr w14:paraId="130B6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19620FA0">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4E85C6AD">
            <w:pPr>
              <w:pStyle w:val="2"/>
              <w:widowControl/>
              <w:spacing w:before="225" w:beforeAutospacing="0" w:after="75" w:afterAutospacing="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中医术语翻译</w:t>
            </w:r>
          </w:p>
        </w:tc>
        <w:tc>
          <w:tcPr>
            <w:tcW w:w="3472" w:type="dxa"/>
            <w:noWrap w:val="0"/>
            <w:vAlign w:val="top"/>
          </w:tcPr>
          <w:p w14:paraId="575F6502">
            <w:pPr>
              <w:pStyle w:val="2"/>
              <w:widowControl/>
              <w:spacing w:before="225" w:beforeAutospacing="0" w:after="75" w:afterAutospacing="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中医翻译研究方法</w:t>
            </w:r>
          </w:p>
        </w:tc>
      </w:tr>
      <w:tr w14:paraId="45BA9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center"/>
          </w:tcPr>
          <w:p w14:paraId="4825C385">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选修课</w:t>
            </w:r>
          </w:p>
        </w:tc>
        <w:tc>
          <w:tcPr>
            <w:tcW w:w="3660" w:type="dxa"/>
            <w:noWrap w:val="0"/>
            <w:vAlign w:val="top"/>
          </w:tcPr>
          <w:p w14:paraId="30B7E4F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语言学</w:t>
            </w:r>
          </w:p>
        </w:tc>
        <w:tc>
          <w:tcPr>
            <w:tcW w:w="3472" w:type="dxa"/>
            <w:noWrap w:val="0"/>
            <w:vAlign w:val="top"/>
          </w:tcPr>
          <w:p w14:paraId="051A898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中医英语阅读</w:t>
            </w:r>
          </w:p>
        </w:tc>
      </w:tr>
      <w:tr w14:paraId="018CE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44D3194A">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6B15C71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经典文献翻译赏析</w:t>
            </w:r>
          </w:p>
        </w:tc>
        <w:tc>
          <w:tcPr>
            <w:tcW w:w="3472" w:type="dxa"/>
            <w:noWrap w:val="0"/>
            <w:vAlign w:val="top"/>
          </w:tcPr>
          <w:p w14:paraId="1EAB803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default" w:ascii="宋体" w:hAnsi="宋体" w:eastAsia="宋体" w:cs="微软雅黑"/>
                <w:b w:val="0"/>
                <w:color w:val="000000"/>
                <w:kern w:val="0"/>
                <w:sz w:val="21"/>
                <w:szCs w:val="21"/>
                <w:lang w:val="en-US" w:eastAsia="zh-CN" w:bidi="ar"/>
              </w:rPr>
              <w:t>创新创业指导</w:t>
            </w:r>
          </w:p>
        </w:tc>
      </w:tr>
    </w:tbl>
    <w:p w14:paraId="2AF42891">
      <w:pPr>
        <w:widowControl w:val="0"/>
        <w:numPr>
          <w:ilvl w:val="0"/>
          <w:numId w:val="0"/>
        </w:numPr>
        <w:spacing w:line="360" w:lineRule="auto"/>
        <w:contextualSpacing/>
        <w:jc w:val="center"/>
        <w:rPr>
          <w:rFonts w:hint="eastAsia" w:cs="宋体" w:asciiTheme="minorEastAsia" w:hAnsiTheme="minorEastAsia"/>
          <w:b w:val="0"/>
          <w:bCs w:val="0"/>
          <w:color w:val="000000" w:themeColor="text1"/>
          <w:sz w:val="21"/>
          <w:szCs w:val="21"/>
          <w:lang w:val="en-US" w:eastAsia="zh-CN"/>
          <w14:textFill>
            <w14:solidFill>
              <w14:schemeClr w14:val="tx1"/>
            </w14:solidFill>
          </w14:textFill>
        </w:rPr>
      </w:pPr>
    </w:p>
    <w:p w14:paraId="308347BE">
      <w:pPr>
        <w:widowControl w:val="0"/>
        <w:numPr>
          <w:ilvl w:val="0"/>
          <w:numId w:val="0"/>
        </w:numPr>
        <w:spacing w:line="360" w:lineRule="auto"/>
        <w:contextualSpacing/>
        <w:jc w:val="center"/>
        <w:rPr>
          <w:rFonts w:hint="default" w:cs="宋体" w:asciiTheme="minorEastAsia" w:hAnsiTheme="minorEastAsia"/>
          <w:b w:val="0"/>
          <w:bCs w:val="0"/>
          <w:color w:val="000000" w:themeColor="text1"/>
          <w:sz w:val="21"/>
          <w:szCs w:val="21"/>
          <w:lang w:val="en-US" w:eastAsia="zh-CN"/>
          <w14:textFill>
            <w14:solidFill>
              <w14:schemeClr w14:val="tx1"/>
            </w14:solidFill>
          </w14:textFill>
        </w:rPr>
      </w:pPr>
      <w:r>
        <w:rPr>
          <w:rFonts w:hint="eastAsia" w:cs="宋体" w:asciiTheme="minorEastAsia" w:hAnsiTheme="minorEastAsia"/>
          <w:b w:val="0"/>
          <w:bCs w:val="0"/>
          <w:color w:val="000000" w:themeColor="text1"/>
          <w:sz w:val="21"/>
          <w:szCs w:val="21"/>
          <w:lang w:val="en-US" w:eastAsia="zh-CN"/>
          <w14:textFill>
            <w14:solidFill>
              <w14:schemeClr w14:val="tx1"/>
            </w14:solidFill>
          </w14:textFill>
        </w:rPr>
        <w:t>注：具体课程以学校实际安排为准</w:t>
      </w:r>
    </w:p>
    <w:p w14:paraId="675DA10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cs="宋体" w:asciiTheme="minorEastAsia" w:hAnsiTheme="minorEastAsia"/>
          <w:b/>
          <w:bCs/>
          <w:color w:val="000000" w:themeColor="text1"/>
          <w:sz w:val="24"/>
          <w:lang w:val="en-US" w:eastAsia="zh-CN"/>
          <w14:textFill>
            <w14:solidFill>
              <w14:schemeClr w14:val="tx1"/>
            </w14:solidFill>
          </w14:textFill>
        </w:rPr>
      </w:pPr>
    </w:p>
    <w:p w14:paraId="43E8761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cs="宋体" w:asciiTheme="minorEastAsia" w:hAnsiTheme="minorEastAsia"/>
          <w:b/>
          <w:bCs/>
          <w:color w:val="000000" w:themeColor="text1"/>
          <w:sz w:val="24"/>
          <w:lang w:val="en-US" w:eastAsia="zh-CN"/>
          <w14:textFill>
            <w14:solidFill>
              <w14:schemeClr w14:val="tx1"/>
            </w14:solidFill>
          </w14:textFill>
        </w:rPr>
      </w:pPr>
    </w:p>
    <w:p w14:paraId="17010B9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cs="宋体" w:asciiTheme="minorEastAsia" w:hAnsiTheme="minorEastAsia"/>
          <w:b/>
          <w:bCs/>
          <w:color w:val="000000" w:themeColor="text1"/>
          <w:sz w:val="24"/>
          <w:lang w:val="en-US" w:eastAsia="zh-CN"/>
          <w14:textFill>
            <w14:solidFill>
              <w14:schemeClr w14:val="tx1"/>
            </w14:solidFill>
          </w14:textFill>
        </w:rPr>
      </w:pPr>
    </w:p>
    <w:p w14:paraId="074AC57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五、报考条件</w:t>
      </w:r>
      <w:r>
        <w:rPr>
          <w:rFonts w:hint="eastAsia" w:cs="宋体" w:asciiTheme="minorEastAsia" w:hAnsiTheme="minorEastAsia"/>
          <w:b/>
          <w:bCs/>
          <w:color w:val="000000" w:themeColor="text1"/>
          <w:sz w:val="24"/>
          <w:lang w:eastAsia="zh-CN"/>
          <w14:textFill>
            <w14:solidFill>
              <w14:schemeClr w14:val="tx1"/>
            </w14:solidFill>
          </w14:textFill>
        </w:rPr>
        <w:t>：</w:t>
      </w:r>
    </w:p>
    <w:p w14:paraId="5EFF572B">
      <w:pPr>
        <w:pStyle w:val="11"/>
      </w:pPr>
      <w:r>
        <w:t>窗体顶端</w:t>
      </w:r>
    </w:p>
    <w:p w14:paraId="3A799A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exact"/>
        <w:ind w:left="0" w:right="0" w:firstLine="480" w:firstLineChars="200"/>
        <w:jc w:val="left"/>
        <w:rPr>
          <w:rFonts w:hint="eastAsia" w:cs="仿宋_GB2312" w:asciiTheme="minorEastAsia" w:hAnsiTheme="minorEastAsia" w:eastAsiaTheme="minorEastAsia"/>
          <w:color w:val="000000"/>
          <w:kern w:val="0"/>
          <w:sz w:val="24"/>
          <w:szCs w:val="24"/>
          <w:lang w:val="en-US" w:eastAsia="zh-CN" w:bidi="ar-SA"/>
        </w:rPr>
      </w:pPr>
      <w:r>
        <w:rPr>
          <w:rFonts w:hint="eastAsia" w:cs="仿宋_GB2312" w:asciiTheme="minorEastAsia" w:hAnsiTheme="minorEastAsia"/>
          <w:color w:val="000000"/>
          <w:kern w:val="0"/>
          <w:sz w:val="24"/>
          <w:szCs w:val="24"/>
          <w:lang w:val="en-US" w:eastAsia="zh-CN" w:bidi="ar-SA"/>
        </w:rPr>
        <w:t>1、</w:t>
      </w:r>
      <w:r>
        <w:rPr>
          <w:rFonts w:hint="eastAsia" w:cs="仿宋_GB2312" w:asciiTheme="minorEastAsia" w:hAnsiTheme="minorEastAsia" w:eastAsiaTheme="minorEastAsia"/>
          <w:color w:val="000000"/>
          <w:kern w:val="0"/>
          <w:sz w:val="24"/>
          <w:szCs w:val="24"/>
          <w:lang w:val="en-US" w:eastAsia="zh-CN" w:bidi="ar-SA"/>
        </w:rPr>
        <w:t>拥护中国共产党的领导，思想政治素质好，遵纪守法，业务能力较强。</w:t>
      </w:r>
    </w:p>
    <w:p w14:paraId="762C69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exact"/>
        <w:ind w:left="0" w:right="0" w:firstLine="480" w:firstLineChars="200"/>
        <w:jc w:val="left"/>
        <w:rPr>
          <w:rFonts w:hint="eastAsia" w:cs="仿宋_GB2312" w:asciiTheme="minorEastAsia" w:hAnsiTheme="minorEastAsia" w:eastAsiaTheme="minorEastAsia"/>
          <w:color w:val="000000"/>
          <w:kern w:val="0"/>
          <w:sz w:val="24"/>
          <w:szCs w:val="24"/>
          <w:lang w:val="en-US" w:eastAsia="zh-CN" w:bidi="ar-SA"/>
        </w:rPr>
      </w:pPr>
      <w:r>
        <w:rPr>
          <w:rFonts w:hint="eastAsia" w:cs="仿宋_GB2312" w:asciiTheme="minorEastAsia" w:hAnsiTheme="minorEastAsia"/>
          <w:color w:val="000000"/>
          <w:kern w:val="0"/>
          <w:sz w:val="24"/>
          <w:szCs w:val="24"/>
          <w:lang w:val="en-US" w:eastAsia="zh-CN" w:bidi="ar-SA"/>
        </w:rPr>
        <w:t>2、</w:t>
      </w:r>
      <w:r>
        <w:rPr>
          <w:rFonts w:hint="eastAsia" w:cs="仿宋_GB2312" w:asciiTheme="minorEastAsia" w:hAnsiTheme="minorEastAsia" w:eastAsiaTheme="minorEastAsia"/>
          <w:color w:val="000000"/>
          <w:kern w:val="0"/>
          <w:sz w:val="24"/>
          <w:szCs w:val="24"/>
          <w:lang w:val="en-US" w:eastAsia="zh-CN" w:bidi="ar-SA"/>
        </w:rPr>
        <w:t>已获得学士学位，并在获得学士学位后工作三年以上</w:t>
      </w:r>
      <w:bookmarkStart w:id="0" w:name="_GoBack"/>
      <w:bookmarkEnd w:id="0"/>
      <w:r>
        <w:rPr>
          <w:rFonts w:hint="eastAsia" w:cs="仿宋_GB2312" w:asciiTheme="minorEastAsia" w:hAnsiTheme="minorEastAsia" w:eastAsiaTheme="minorEastAsia"/>
          <w:color w:val="000000"/>
          <w:kern w:val="0"/>
          <w:sz w:val="24"/>
          <w:szCs w:val="24"/>
          <w:lang w:val="en-US" w:eastAsia="zh-CN" w:bidi="ar-SA"/>
        </w:rPr>
        <w:t>；或无学士学位但已获得硕士或博士学位；或通过教育部留学服务中心认证的国（境）外学士、硕士或博士学位获得者。</w:t>
      </w:r>
    </w:p>
    <w:p w14:paraId="22BFFD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exact"/>
        <w:ind w:left="0" w:right="0" w:firstLine="480" w:firstLineChars="200"/>
        <w:jc w:val="left"/>
        <w:rPr>
          <w:rFonts w:hint="eastAsia" w:cs="仿宋_GB2312" w:asciiTheme="minorEastAsia" w:hAnsiTheme="minorEastAsia" w:eastAsiaTheme="minorEastAsia"/>
          <w:color w:val="000000"/>
          <w:kern w:val="0"/>
          <w:sz w:val="24"/>
          <w:szCs w:val="24"/>
          <w:lang w:val="en-US" w:eastAsia="zh-CN" w:bidi="ar-SA"/>
        </w:rPr>
      </w:pPr>
      <w:r>
        <w:rPr>
          <w:rFonts w:hint="eastAsia" w:cs="仿宋_GB2312" w:asciiTheme="minorEastAsia" w:hAnsiTheme="minorEastAsia"/>
          <w:color w:val="000000"/>
          <w:kern w:val="0"/>
          <w:sz w:val="24"/>
          <w:szCs w:val="24"/>
          <w:lang w:val="en-US" w:eastAsia="zh-CN" w:bidi="ar-SA"/>
        </w:rPr>
        <w:t>3、</w:t>
      </w:r>
      <w:r>
        <w:rPr>
          <w:rFonts w:hint="eastAsia" w:cs="仿宋_GB2312" w:asciiTheme="minorEastAsia" w:hAnsiTheme="minorEastAsia" w:eastAsiaTheme="minorEastAsia"/>
          <w:color w:val="000000"/>
          <w:kern w:val="0"/>
          <w:sz w:val="24"/>
          <w:szCs w:val="24"/>
          <w:lang w:val="en-US" w:eastAsia="zh-CN" w:bidi="ar-SA"/>
        </w:rPr>
        <w:t>身体健康，年龄一般不超过45周岁。</w:t>
      </w:r>
    </w:p>
    <w:p w14:paraId="7ECB6CDF">
      <w:pPr>
        <w:pStyle w:val="12"/>
      </w:pPr>
      <w:r>
        <w:t>窗体底端</w:t>
      </w:r>
    </w:p>
    <w:p w14:paraId="0E91A032">
      <w:pPr>
        <w:spacing w:line="360" w:lineRule="auto"/>
        <w:ind w:firstLine="482" w:firstLineChars="200"/>
        <w:contextualSpacing/>
        <w:jc w:val="left"/>
        <w:rPr>
          <w:rFonts w:hint="eastAsia" w:cs="宋体" w:asciiTheme="minorEastAsia" w:hAnsiTheme="minorEastAsia"/>
          <w:b/>
          <w:bCs/>
          <w:color w:val="FF0000"/>
          <w:sz w:val="24"/>
          <w:lang w:val="en-US" w:eastAsia="zh-CN"/>
        </w:rPr>
      </w:pPr>
    </w:p>
    <w:p w14:paraId="307F35E5">
      <w:pPr>
        <w:spacing w:line="360" w:lineRule="auto"/>
        <w:contextualSpacing/>
        <w:jc w:val="left"/>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六、</w:t>
      </w:r>
      <w:r>
        <w:rPr>
          <w:rFonts w:hint="eastAsia" w:cs="宋体" w:asciiTheme="minorEastAsia" w:hAnsiTheme="minorEastAsia"/>
          <w:b/>
          <w:bCs/>
          <w:color w:val="000000" w:themeColor="text1"/>
          <w:sz w:val="24"/>
          <w14:textFill>
            <w14:solidFill>
              <w14:schemeClr w14:val="tx1"/>
            </w14:solidFill>
          </w14:textFill>
        </w:rPr>
        <w:t>收费标准</w:t>
      </w:r>
      <w:r>
        <w:rPr>
          <w:rFonts w:hint="eastAsia" w:cs="宋体" w:asciiTheme="minorEastAsia" w:hAnsiTheme="minorEastAsia"/>
          <w:b/>
          <w:bCs/>
          <w:color w:val="000000" w:themeColor="text1"/>
          <w:sz w:val="24"/>
          <w:lang w:eastAsia="zh-CN"/>
          <w14:textFill>
            <w14:solidFill>
              <w14:schemeClr w14:val="tx1"/>
            </w14:solidFill>
          </w14:textFill>
        </w:rPr>
        <w:t>：</w:t>
      </w:r>
    </w:p>
    <w:p w14:paraId="1222AF7C">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1、</w:t>
      </w:r>
      <w:r>
        <w:rPr>
          <w:rFonts w:hint="eastAsia" w:cs="仿宋_GB2312" w:asciiTheme="minorEastAsia" w:hAnsiTheme="minorEastAsia"/>
          <w:color w:val="000000"/>
        </w:rPr>
        <w:t>课程学习培养费1</w:t>
      </w:r>
      <w:r>
        <w:rPr>
          <w:rFonts w:hint="eastAsia" w:cs="仿宋_GB2312" w:asciiTheme="minorEastAsia" w:hAnsiTheme="minorEastAsia"/>
          <w:color w:val="000000"/>
          <w:lang w:val="en-US" w:eastAsia="zh-CN"/>
        </w:rPr>
        <w:t>00</w:t>
      </w:r>
      <w:r>
        <w:rPr>
          <w:rFonts w:hint="eastAsia" w:cs="仿宋_GB2312" w:asciiTheme="minorEastAsia" w:hAnsiTheme="minorEastAsia"/>
          <w:color w:val="000000"/>
        </w:rPr>
        <w:t>00元</w:t>
      </w:r>
    </w:p>
    <w:p w14:paraId="5B3DC2D7">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2、</w:t>
      </w:r>
      <w:r>
        <w:rPr>
          <w:rFonts w:hint="eastAsia" w:cs="仿宋_GB2312" w:asciiTheme="minorEastAsia" w:hAnsiTheme="minorEastAsia"/>
          <w:color w:val="000000"/>
        </w:rPr>
        <w:t>学位论文答辩费</w:t>
      </w:r>
      <w:r>
        <w:rPr>
          <w:rFonts w:hint="eastAsia" w:cs="仿宋_GB2312" w:asciiTheme="minorEastAsia" w:hAnsiTheme="minorEastAsia"/>
          <w:color w:val="000000"/>
          <w:lang w:val="en-US" w:eastAsia="zh-CN"/>
        </w:rPr>
        <w:t>20</w:t>
      </w:r>
      <w:r>
        <w:rPr>
          <w:rFonts w:hint="eastAsia" w:cs="仿宋_GB2312" w:asciiTheme="minorEastAsia" w:hAnsiTheme="minorEastAsia"/>
          <w:color w:val="000000"/>
        </w:rPr>
        <w:t>000元</w:t>
      </w:r>
    </w:p>
    <w:p w14:paraId="4406010C">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p>
    <w:p w14:paraId="2CC969D2">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七</w:t>
      </w:r>
      <w:r>
        <w:rPr>
          <w:rFonts w:hint="eastAsia" w:cs="宋体" w:asciiTheme="minorEastAsia" w:hAnsiTheme="minorEastAsia"/>
          <w:b/>
          <w:bCs/>
          <w:color w:val="000000" w:themeColor="text1"/>
          <w:sz w:val="24"/>
          <w14:textFill>
            <w14:solidFill>
              <w14:schemeClr w14:val="tx1"/>
            </w14:solidFill>
          </w14:textFill>
        </w:rPr>
        <w:t>、培养方式</w:t>
      </w:r>
      <w:r>
        <w:rPr>
          <w:rFonts w:hint="eastAsia" w:cs="宋体" w:asciiTheme="minorEastAsia" w:hAnsiTheme="minorEastAsia"/>
          <w:b/>
          <w:bCs/>
          <w:color w:val="000000" w:themeColor="text1"/>
          <w:sz w:val="24"/>
          <w:lang w:eastAsia="zh-CN"/>
          <w14:textFill>
            <w14:solidFill>
              <w14:schemeClr w14:val="tx1"/>
            </w14:solidFill>
          </w14:textFill>
        </w:rPr>
        <w:t>：</w:t>
      </w:r>
    </w:p>
    <w:p w14:paraId="066E18E2">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jc w:val="left"/>
        <w:textAlignment w:val="auto"/>
        <w:rPr>
          <w:rFonts w:cs="宋体" w:asciiTheme="minorEastAsia" w:hAnsiTheme="minorEastAsia"/>
          <w:sz w:val="24"/>
        </w:rPr>
      </w:pPr>
      <w:r>
        <w:rPr>
          <w:rFonts w:hint="eastAsia" w:cs="宋体" w:asciiTheme="minorEastAsia" w:hAnsiTheme="minorEastAsia"/>
          <w:sz w:val="24"/>
        </w:rPr>
        <w:t>1、学习时间：学制</w:t>
      </w:r>
      <w:r>
        <w:rPr>
          <w:rFonts w:hint="eastAsia" w:cs="宋体" w:asciiTheme="minorEastAsia" w:hAnsiTheme="minorEastAsia"/>
          <w:sz w:val="24"/>
          <w:lang w:val="en-US" w:eastAsia="zh-CN"/>
        </w:rPr>
        <w:t>1-1.5</w:t>
      </w:r>
      <w:r>
        <w:rPr>
          <w:rFonts w:hint="eastAsia" w:cs="宋体" w:asciiTheme="minorEastAsia" w:hAnsiTheme="minorEastAsia"/>
          <w:sz w:val="24"/>
        </w:rPr>
        <w:t>年</w:t>
      </w:r>
    </w:p>
    <w:p w14:paraId="388E4D48">
      <w:pPr>
        <w:pStyle w:val="5"/>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contextualSpacing/>
        <w:jc w:val="both"/>
        <w:textAlignment w:val="auto"/>
        <w:rPr>
          <w:rFonts w:hint="default" w:cs="仿宋_GB2312" w:asciiTheme="minorEastAsia" w:hAnsiTheme="minorEastAsia"/>
          <w:color w:val="000000"/>
          <w:lang w:val="en-US"/>
        </w:rPr>
      </w:pPr>
      <w:r>
        <w:rPr>
          <w:rFonts w:hint="eastAsia" w:cs="宋体" w:asciiTheme="minorEastAsia" w:hAnsiTheme="minorEastAsia"/>
          <w:sz w:val="24"/>
        </w:rPr>
        <w:t>2、授课方式：</w:t>
      </w:r>
      <w:r>
        <w:rPr>
          <w:rFonts w:hint="eastAsia" w:asciiTheme="minorEastAsia" w:hAnsiTheme="minorEastAsia" w:cstheme="minorEastAsia"/>
          <w:sz w:val="24"/>
          <w:szCs w:val="24"/>
          <w:lang w:val="en-US" w:eastAsia="zh-CN"/>
        </w:rPr>
        <w:t>网络教学+1天面授</w:t>
      </w:r>
    </w:p>
    <w:p w14:paraId="57800070">
      <w:pPr>
        <w:spacing w:line="360" w:lineRule="auto"/>
        <w:contextualSpacing/>
        <w:jc w:val="left"/>
        <w:rPr>
          <w:rFonts w:hint="default" w:cs="宋体" w:asciiTheme="minorEastAsia" w:hAnsiTheme="minorEastAsia"/>
          <w:b/>
          <w:bCs/>
          <w:color w:val="000000" w:themeColor="text1"/>
          <w:sz w:val="24"/>
          <w:lang w:val="en-US" w:eastAsia="zh-CN"/>
          <w14:textFill>
            <w14:solidFill>
              <w14:schemeClr w14:val="tx1"/>
            </w14:solidFill>
          </w14:textFill>
        </w:rPr>
      </w:pPr>
    </w:p>
    <w:p w14:paraId="749F870B">
      <w:pPr>
        <w:spacing w:line="360" w:lineRule="auto"/>
        <w:contextualSpacing/>
        <w:jc w:val="left"/>
        <w:rPr>
          <w:rFonts w:hint="eastAsia" w:cs="宋体" w:asciiTheme="minorEastAsia" w:hAnsiTheme="minorEastAsia"/>
          <w:sz w:val="24"/>
        </w:rPr>
      </w:pPr>
      <w:r>
        <w:rPr>
          <w:rFonts w:hint="eastAsia" w:cs="宋体" w:asciiTheme="minorEastAsia" w:hAnsiTheme="minorEastAsia"/>
          <w:b/>
          <w:bCs/>
          <w:color w:val="000000" w:themeColor="text1"/>
          <w:sz w:val="24"/>
          <w:lang w:val="en-US" w:eastAsia="zh-CN"/>
          <w14:textFill>
            <w14:solidFill>
              <w14:schemeClr w14:val="tx1"/>
            </w14:solidFill>
          </w14:textFill>
        </w:rPr>
        <w:t>八</w:t>
      </w:r>
      <w:r>
        <w:rPr>
          <w:rFonts w:hint="eastAsia" w:cs="宋体" w:asciiTheme="minorEastAsia" w:hAnsiTheme="minorEastAsia"/>
          <w:b/>
          <w:bCs/>
          <w:color w:val="000000" w:themeColor="text1"/>
          <w:sz w:val="24"/>
          <w14:textFill>
            <w14:solidFill>
              <w14:schemeClr w14:val="tx1"/>
            </w14:solidFill>
          </w14:textFill>
        </w:rPr>
        <w:t>、报名手续</w:t>
      </w:r>
      <w:r>
        <w:rPr>
          <w:rFonts w:hint="eastAsia" w:cs="宋体" w:asciiTheme="minorEastAsia" w:hAnsiTheme="minorEastAsia"/>
          <w:b/>
          <w:bCs/>
          <w:color w:val="000000" w:themeColor="text1"/>
          <w:sz w:val="24"/>
          <w:lang w:eastAsia="zh-CN"/>
          <w14:textFill>
            <w14:solidFill>
              <w14:schemeClr w14:val="tx1"/>
            </w14:solidFill>
          </w14:textFill>
        </w:rPr>
        <w:t>：</w:t>
      </w:r>
    </w:p>
    <w:p w14:paraId="3816BD6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1、《江西中医药大学在职人员以研究生毕业同等学力申请硕士学位报名登记表》（须申请者所在单位人事部门加盖公章，招生单位和研究生院盖章由学校统一盖章）</w:t>
      </w:r>
    </w:p>
    <w:p w14:paraId="41B1EA6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2、同等学力攻读硕士学位统计表</w:t>
      </w:r>
    </w:p>
    <w:p w14:paraId="5D3DBA7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3、有效期内的《教育部学历证书电子注册备案表》</w:t>
      </w:r>
    </w:p>
    <w:p w14:paraId="1F7F155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4、《教育部学位认证报告》</w:t>
      </w:r>
    </w:p>
    <w:p w14:paraId="365C16C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5、入学须知</w:t>
      </w:r>
    </w:p>
    <w:p w14:paraId="7F4376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6、身份证、毕业证、学位证原件及复印件一份（毕业证和学位证书复印件上须加盖所在单位人事部门公章）</w:t>
      </w:r>
    </w:p>
    <w:p w14:paraId="4E2E47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heme="minorEastAsia" w:hAnsiTheme="minorEastAsia" w:eastAsiaTheme="minorEastAsia" w:cstheme="minorEastAsia"/>
          <w:kern w:val="0"/>
          <w:sz w:val="24"/>
          <w:szCs w:val="24"/>
          <w:lang w:val="en-US" w:eastAsia="zh-CN" w:bidi="ar-SA"/>
        </w:rPr>
      </w:pPr>
      <w:r>
        <w:rPr>
          <w:rFonts w:hint="eastAsia" w:asciiTheme="minorEastAsia" w:hAnsiTheme="minorEastAsia" w:cstheme="minorEastAsia"/>
          <w:kern w:val="0"/>
          <w:sz w:val="24"/>
          <w:szCs w:val="24"/>
          <w:lang w:val="en-US" w:eastAsia="zh-CN" w:bidi="ar-SA"/>
        </w:rPr>
        <w:t>7、</w:t>
      </w:r>
      <w:r>
        <w:rPr>
          <w:rFonts w:hint="eastAsia" w:asciiTheme="minorEastAsia" w:hAnsiTheme="minorEastAsia" w:eastAsiaTheme="minorEastAsia" w:cstheme="minorEastAsia"/>
          <w:kern w:val="0"/>
          <w:sz w:val="24"/>
          <w:szCs w:val="24"/>
          <w:lang w:val="en-US" w:eastAsia="zh-CN" w:bidi="ar-SA"/>
        </w:rPr>
        <w:t>一寸蓝底照片</w:t>
      </w:r>
    </w:p>
    <w:p w14:paraId="1032032E">
      <w:pPr>
        <w:spacing w:line="360" w:lineRule="auto"/>
        <w:contextualSpacing/>
        <w:jc w:val="left"/>
        <w:rPr>
          <w:rFonts w:hint="default" w:cs="宋体" w:asciiTheme="minorEastAsia" w:hAnsiTheme="minorEastAsia"/>
          <w:b/>
          <w:bCs/>
          <w:color w:val="000000" w:themeColor="text1"/>
          <w:sz w:val="24"/>
          <w:lang w:val="en-US" w:eastAsia="zh-CN"/>
          <w14:textFill>
            <w14:solidFill>
              <w14:schemeClr w14:val="tx1"/>
            </w14:solidFill>
          </w14:textFill>
        </w:rPr>
      </w:pPr>
    </w:p>
    <w:p w14:paraId="6E4632FC">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九</w:t>
      </w:r>
      <w:r>
        <w:rPr>
          <w:rFonts w:hint="eastAsia" w:cs="宋体" w:asciiTheme="minorEastAsia" w:hAnsiTheme="minorEastAsia"/>
          <w:b/>
          <w:bCs/>
          <w:color w:val="000000" w:themeColor="text1"/>
          <w:sz w:val="24"/>
          <w14:textFill>
            <w14:solidFill>
              <w14:schemeClr w14:val="tx1"/>
            </w14:solidFill>
          </w14:textFill>
        </w:rPr>
        <w:t>、获取证书</w:t>
      </w:r>
      <w:r>
        <w:rPr>
          <w:rFonts w:hint="eastAsia" w:cs="宋体" w:asciiTheme="minorEastAsia" w:hAnsiTheme="minorEastAsia"/>
          <w:b/>
          <w:bCs/>
          <w:color w:val="000000" w:themeColor="text1"/>
          <w:sz w:val="24"/>
          <w:lang w:eastAsia="zh-CN"/>
          <w14:textFill>
            <w14:solidFill>
              <w14:schemeClr w14:val="tx1"/>
            </w14:solidFill>
          </w14:textFill>
        </w:rPr>
        <w:t>：</w:t>
      </w:r>
    </w:p>
    <w:p w14:paraId="499BADB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申请人通过我校硕士研究生培养方案规定的课程考试、同等学力人员申请硕士学位外国语水平和学科综合水平全国统一考试等，可申请论文答辩。通过学位论文答辩，符合《中华人民共和国学位条例》和《中华人民共和国学位条例暂行实施办法》的要求、符合《江西中医药大学学位授予工作实施细则》规定，经校学位评定委员会评定，授予硕士学位。</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DB3E5F">
    <w:pPr>
      <w:pStyle w:val="4"/>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7032625"/>
          <wp:effectExtent l="0" t="0" r="2540" b="15875"/>
          <wp:wrapNone/>
          <wp:docPr id="1" name="WordPictureWatermark42247" descr="029026c59c95180ca82de15f674db76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42247" descr="029026c59c95180ca82de15f674db76d"/>
                  <pic:cNvPicPr>
                    <a:picLocks noChangeAspect="1"/>
                  </pic:cNvPicPr>
                </pic:nvPicPr>
                <pic:blipFill>
                  <a:blip r:embed="rId1">
                    <a:lum bright="70000" contrast="-70000"/>
                  </a:blip>
                  <a:stretch>
                    <a:fillRect/>
                  </a:stretch>
                </pic:blipFill>
                <pic:spPr>
                  <a:xfrm>
                    <a:off x="0" y="0"/>
                    <a:ext cx="5274310" cy="703262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54B580"/>
    <w:multiLevelType w:val="singleLevel"/>
    <w:tmpl w:val="9054B58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157736"/>
    <w:rsid w:val="03BA0D49"/>
    <w:rsid w:val="06163BD1"/>
    <w:rsid w:val="0A742C74"/>
    <w:rsid w:val="10157736"/>
    <w:rsid w:val="1840688C"/>
    <w:rsid w:val="188350F6"/>
    <w:rsid w:val="1B7238CA"/>
    <w:rsid w:val="202A58A0"/>
    <w:rsid w:val="26A5092E"/>
    <w:rsid w:val="27C070A1"/>
    <w:rsid w:val="2F522D60"/>
    <w:rsid w:val="34193C9A"/>
    <w:rsid w:val="357940C4"/>
    <w:rsid w:val="38814FC6"/>
    <w:rsid w:val="3C3519B4"/>
    <w:rsid w:val="3E9B7303"/>
    <w:rsid w:val="43686B13"/>
    <w:rsid w:val="46EF5C08"/>
    <w:rsid w:val="472E597E"/>
    <w:rsid w:val="478A78E0"/>
    <w:rsid w:val="48FA0154"/>
    <w:rsid w:val="501F754E"/>
    <w:rsid w:val="519758C5"/>
    <w:rsid w:val="58562F86"/>
    <w:rsid w:val="58CD3A78"/>
    <w:rsid w:val="5AFA5E4B"/>
    <w:rsid w:val="5D156F6C"/>
    <w:rsid w:val="5F5D6357"/>
    <w:rsid w:val="608508AD"/>
    <w:rsid w:val="70912F56"/>
    <w:rsid w:val="741E6BF6"/>
    <w:rsid w:val="77C90C27"/>
    <w:rsid w:val="78B652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6"/>
    <w:basedOn w:val="1"/>
    <w:next w:val="1"/>
    <w:qFormat/>
    <w:uiPriority w:val="0"/>
    <w:pPr>
      <w:spacing w:before="100" w:beforeAutospacing="1" w:after="100" w:afterAutospacing="1"/>
      <w:jc w:val="left"/>
      <w:outlineLvl w:val="5"/>
    </w:pPr>
    <w:rPr>
      <w:rFonts w:ascii="宋体" w:hAnsi="宋体"/>
      <w:b/>
      <w:kern w:val="0"/>
      <w:sz w:val="15"/>
      <w:szCs w:val="15"/>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99"/>
    <w:pPr>
      <w:spacing w:beforeAutospacing="1" w:afterAutospacing="1"/>
      <w:jc w:val="left"/>
    </w:pPr>
    <w:rPr>
      <w:rFonts w:cs="Times New Roman"/>
      <w:kern w:val="0"/>
      <w:sz w:val="24"/>
    </w:rPr>
  </w:style>
  <w:style w:type="character" w:styleId="8">
    <w:name w:val="Strong"/>
    <w:basedOn w:val="7"/>
    <w:qFormat/>
    <w:uiPriority w:val="0"/>
    <w:rPr>
      <w:b/>
    </w:rPr>
  </w:style>
  <w:style w:type="character" w:styleId="9">
    <w:name w:val="FollowedHyperlink"/>
    <w:basedOn w:val="7"/>
    <w:uiPriority w:val="0"/>
    <w:rPr>
      <w:color w:val="800080"/>
      <w:u w:val="single"/>
    </w:rPr>
  </w:style>
  <w:style w:type="character" w:styleId="10">
    <w:name w:val="Hyperlink"/>
    <w:basedOn w:val="7"/>
    <w:qFormat/>
    <w:uiPriority w:val="0"/>
    <w:rPr>
      <w:color w:val="0000FF"/>
      <w:u w:val="single"/>
    </w:rPr>
  </w:style>
  <w:style w:type="paragraph" w:customStyle="1" w:styleId="11">
    <w:name w:val="_Style 10"/>
    <w:basedOn w:val="1"/>
    <w:next w:val="1"/>
    <w:qFormat/>
    <w:uiPriority w:val="0"/>
    <w:pPr>
      <w:pBdr>
        <w:bottom w:val="single" w:color="auto" w:sz="6" w:space="1"/>
      </w:pBdr>
      <w:jc w:val="center"/>
    </w:pPr>
    <w:rPr>
      <w:rFonts w:ascii="Arial" w:eastAsia="宋体"/>
      <w:vanish/>
      <w:sz w:val="16"/>
    </w:rPr>
  </w:style>
  <w:style w:type="paragraph" w:customStyle="1" w:styleId="12">
    <w:name w:val="_Style 11"/>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1460</Words>
  <Characters>1491</Characters>
  <Lines>0</Lines>
  <Paragraphs>0</Paragraphs>
  <TotalTime>3</TotalTime>
  <ScaleCrop>false</ScaleCrop>
  <LinksUpToDate>false</LinksUpToDate>
  <CharactersWithSpaces>1491</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2026-02-13T03:07:00Z</dcterms:created>
  <dc:creator>Administrator</dc:creator>
  <cp:lastModifiedBy>Administrator</cp:lastModifiedBy>
  <dcterms:modified xsi:type="dcterms:W3CDTF">2026-02-14T03:09:24Z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4A57EA729C554ABBB2700B8BA22BEB79_11</vt:lpwstr>
  </property>
  <property fmtid="{D5CDD505-2E9C-101B-9397-08002B2CF9AE}" pid="4" name="KSOTemplateDocerSaveRecord">
    <vt:lpwstr>eyJoZGlkIjoiMjJkYmYyOGQwNjU2YTFjYjBlYWQzZDdlZjc2Nzk1ZWYifQ==</vt:lpwstr>
  </property>
</Properties>
</file>