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B89F7">
      <w:pPr>
        <w:pStyle w:val="8"/>
        <w:keepNext/>
        <w:keepLines/>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b/>
          <w:bCs/>
          <w:color w:val="auto"/>
          <w:sz w:val="32"/>
          <w:szCs w:val="32"/>
        </w:rPr>
      </w:pPr>
      <w:bookmarkStart w:id="0" w:name="bookmark6"/>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1191260</wp:posOffset>
            </wp:positionH>
            <wp:positionV relativeFrom="paragraph">
              <wp:posOffset>-88900</wp:posOffset>
            </wp:positionV>
            <wp:extent cx="2974340" cy="889635"/>
            <wp:effectExtent l="0" t="0" r="16510" b="57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t="34153" b="28462"/>
                    <a:stretch>
                      <a:fillRect/>
                    </a:stretch>
                  </pic:blipFill>
                  <pic:spPr>
                    <a:xfrm>
                      <a:off x="0" y="0"/>
                      <a:ext cx="2974340" cy="889635"/>
                    </a:xfrm>
                    <a:prstGeom prst="rect">
                      <a:avLst/>
                    </a:prstGeom>
                    <a:noFill/>
                    <a:ln w="9525">
                      <a:noFill/>
                    </a:ln>
                  </pic:spPr>
                </pic:pic>
              </a:graphicData>
            </a:graphic>
          </wp:anchor>
        </w:drawing>
      </w:r>
      <w:r>
        <w:rPr>
          <w:rFonts w:hint="eastAsia" w:asciiTheme="minorEastAsia" w:hAnsiTheme="minorEastAsia" w:eastAsiaTheme="minorEastAsia" w:cstheme="minorEastAsia"/>
          <w:b/>
          <w:bCs/>
          <w:color w:val="auto"/>
          <w:spacing w:val="0"/>
          <w:w w:val="100"/>
          <w:position w:val="0"/>
          <w:sz w:val="32"/>
          <w:szCs w:val="32"/>
          <w:lang w:val="en-US" w:eastAsia="zh-CN" w:bidi="zh-TW"/>
        </w:rPr>
        <w:t>中国政法大学会计学专业法务会计方向</w:t>
      </w:r>
      <w:r>
        <w:rPr>
          <w:rFonts w:hint="eastAsia" w:asciiTheme="minorEastAsia" w:hAnsiTheme="minorEastAsia" w:eastAsiaTheme="minorEastAsia" w:cstheme="minorEastAsia"/>
          <w:b/>
          <w:bCs/>
          <w:color w:val="auto"/>
          <w:spacing w:val="0"/>
          <w:w w:val="100"/>
          <w:position w:val="0"/>
          <w:sz w:val="32"/>
          <w:szCs w:val="32"/>
          <w:lang w:val="zh-TW" w:eastAsia="zh-TW" w:bidi="zh-TW"/>
        </w:rPr>
        <w:t>同等学力研修班</w:t>
      </w:r>
      <w:r>
        <w:rPr>
          <w:rFonts w:hint="eastAsia" w:asciiTheme="minorEastAsia" w:hAnsiTheme="minorEastAsia" w:eastAsiaTheme="minorEastAsia" w:cstheme="minorEastAsia"/>
          <w:b/>
          <w:bCs/>
          <w:color w:val="auto"/>
          <w:spacing w:val="0"/>
          <w:w w:val="100"/>
          <w:position w:val="0"/>
          <w:sz w:val="32"/>
          <w:szCs w:val="32"/>
          <w:lang w:val="en-US" w:eastAsia="zh-CN" w:bidi="zh-TW"/>
        </w:rPr>
        <w:t xml:space="preserve">  </w:t>
      </w:r>
      <w:r>
        <w:rPr>
          <w:rFonts w:hint="eastAsia" w:asciiTheme="minorEastAsia" w:hAnsiTheme="minorEastAsia" w:eastAsiaTheme="minorEastAsia" w:cstheme="minorEastAsia"/>
          <w:b/>
          <w:bCs/>
          <w:color w:val="auto"/>
          <w:spacing w:val="0"/>
          <w:w w:val="100"/>
          <w:position w:val="0"/>
          <w:sz w:val="32"/>
          <w:szCs w:val="32"/>
          <w:lang w:val="zh-TW" w:eastAsia="zh-TW" w:bidi="zh-TW"/>
        </w:rPr>
        <w:t>招生简章</w:t>
      </w:r>
      <w:bookmarkEnd w:id="0"/>
    </w:p>
    <w:p w14:paraId="3E6F0D18">
      <w:pPr>
        <w:spacing w:line="360" w:lineRule="auto"/>
        <w:ind w:firstLine="420" w:firstLineChars="200"/>
        <w:jc w:val="both"/>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w:t>
      </w:r>
    </w:p>
    <w:p w14:paraId="3A61806F">
      <w:pPr>
        <w:spacing w:line="360" w:lineRule="auto"/>
        <w:rPr>
          <w:rFonts w:hint="eastAsia" w:asciiTheme="minorEastAsia" w:hAnsiTheme="minorEastAsia" w:eastAsiaTheme="minorEastAsia" w:cstheme="minorEastAsia"/>
          <w:color w:val="auto"/>
          <w:sz w:val="21"/>
          <w:szCs w:val="21"/>
          <w:lang w:eastAsia="zh-CN"/>
        </w:rPr>
      </w:pPr>
    </w:p>
    <w:p w14:paraId="6BC818B4">
      <w:pPr>
        <w:spacing w:line="360" w:lineRule="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eastAsia="zh-CN"/>
        </w:rPr>
        <w:t>一、学院及专业简介</w:t>
      </w:r>
    </w:p>
    <w:p w14:paraId="1031AF55">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商学院是中国政法大学主要学院之一。学院依托1995年设立的工商管理本科专业，于2002年在整合我校经济、管理和法律师资及教学资源基础上正式组建。2017年，商学院作为中国政法大学教学改革创新试点单位，以“一主两翼，创新发展，培养社会需要的复合型人才”为办学理念，对原有院所体系进行了全面整合，依托中国政法大学法学优势，明确提出了“一主两翼”的发展方向，即以工商管理和经济学为主导，以法商管理和融商管理为“两翼”的发展模式。</w:t>
      </w:r>
    </w:p>
    <w:p w14:paraId="071D82D5">
      <w:pPr>
        <w:spacing w:line="360" w:lineRule="auto"/>
        <w:ind w:firstLine="420" w:firstLineChars="200"/>
        <w:jc w:val="both"/>
        <w:rPr>
          <w:rFonts w:hint="eastAsia" w:asciiTheme="minorEastAsia" w:hAnsiTheme="minorEastAsia" w:eastAsiaTheme="minorEastAsia" w:cstheme="minorEastAsia"/>
          <w:color w:val="auto"/>
          <w:spacing w:val="0"/>
          <w:w w:val="100"/>
          <w:position w:val="0"/>
          <w:sz w:val="21"/>
          <w:szCs w:val="21"/>
        </w:rPr>
      </w:pPr>
      <w:r>
        <w:rPr>
          <w:rFonts w:hint="eastAsia" w:asciiTheme="minorEastAsia" w:hAnsiTheme="minorEastAsia" w:eastAsiaTheme="minorEastAsia" w:cstheme="minorEastAsia"/>
          <w:color w:val="auto"/>
          <w:spacing w:val="0"/>
          <w:w w:val="100"/>
          <w:position w:val="0"/>
          <w:sz w:val="21"/>
          <w:szCs w:val="21"/>
        </w:rPr>
        <w:t>商学院财务会计系的前身是成立于2008年的商学院会计研究所。10余年来，财务会计系共培养了30多位德智体全面发展，具备财务会计、公司理财、审计等专业知识和创新能力的中高级专门人才，部分毕业的硕士研究生成为中国人民银行、中国证监会、中国移动、北京市税务局、国际四大会计师事务所等的骨干。</w:t>
      </w:r>
    </w:p>
    <w:p w14:paraId="4AC65B6F">
      <w:pPr>
        <w:spacing w:line="36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0"/>
          <w:w w:val="100"/>
          <w:position w:val="0"/>
          <w:sz w:val="21"/>
          <w:szCs w:val="21"/>
        </w:rPr>
        <w:t>为了贯彻实施依法治国方略，推进新时代中国特色社会主义法治建设，适应社会对法律人才的需要，根据国务院学位委员会、教育部、国家发展改革委关于同等学力人员申请硕士学位工作的有关规定，为满足在职人员申请硕士学位的需求，经学校研究决定，中国政法大学培训学院特举办</w:t>
      </w:r>
      <w:r>
        <w:rPr>
          <w:rFonts w:hint="eastAsia" w:asciiTheme="minorEastAsia" w:hAnsiTheme="minorEastAsia" w:eastAsiaTheme="minorEastAsia" w:cstheme="minorEastAsia"/>
          <w:color w:val="auto"/>
          <w:spacing w:val="0"/>
          <w:w w:val="100"/>
          <w:position w:val="0"/>
          <w:sz w:val="21"/>
          <w:szCs w:val="21"/>
          <w:lang w:eastAsia="zh-CN"/>
        </w:rPr>
        <w:t>会计学</w:t>
      </w:r>
      <w:r>
        <w:rPr>
          <w:rFonts w:hint="eastAsia" w:asciiTheme="minorEastAsia" w:hAnsiTheme="minorEastAsia" w:eastAsiaTheme="minorEastAsia" w:cstheme="minorEastAsia"/>
          <w:color w:val="auto"/>
          <w:spacing w:val="0"/>
          <w:w w:val="100"/>
          <w:position w:val="0"/>
          <w:sz w:val="21"/>
          <w:szCs w:val="21"/>
        </w:rPr>
        <w:t>专业同等学力研修班。</w:t>
      </w:r>
    </w:p>
    <w:p w14:paraId="0DBFE464">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r>
        <w:rPr>
          <w:rFonts w:hint="eastAsia" w:asciiTheme="minorEastAsia" w:hAnsiTheme="minorEastAsia" w:eastAsiaTheme="minorEastAsia" w:cstheme="minorEastAsia"/>
          <w:color w:val="auto"/>
          <w:spacing w:val="0"/>
          <w:w w:val="100"/>
          <w:position w:val="0"/>
          <w:sz w:val="21"/>
          <w:szCs w:val="21"/>
          <w:lang w:eastAsia="zh-CN"/>
        </w:rPr>
        <w:t>会计学</w:t>
      </w:r>
      <w:r>
        <w:rPr>
          <w:rFonts w:hint="eastAsia" w:asciiTheme="minorEastAsia" w:hAnsiTheme="minorEastAsia" w:eastAsiaTheme="minorEastAsia" w:cstheme="minorEastAsia"/>
          <w:color w:val="auto"/>
          <w:spacing w:val="0"/>
          <w:w w:val="100"/>
          <w:position w:val="0"/>
          <w:sz w:val="21"/>
          <w:szCs w:val="21"/>
        </w:rPr>
        <w:t>专业同等学力研修班工作由中国政法大学培训学院具体负责，集中学校优势办学资源，全面开展同等学力办学工作。培训实行统一招生、统一教学、统一管理，培训按学科专业进行系统化培养。</w:t>
      </w:r>
    </w:p>
    <w:p w14:paraId="2E7B8C8B">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p>
    <w:p w14:paraId="20CB335A">
      <w:pPr>
        <w:numPr>
          <w:ilvl w:val="0"/>
          <w:numId w:val="1"/>
        </w:num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课程安排</w:t>
      </w:r>
    </w:p>
    <w:tbl>
      <w:tblPr>
        <w:tblStyle w:val="5"/>
        <w:tblW w:w="43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6172"/>
      </w:tblGrid>
      <w:tr w14:paraId="6AB2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2"/>
          </w:tcPr>
          <w:p w14:paraId="1442570B">
            <w:pPr>
              <w:shd w:val="clear"/>
              <w:spacing w:line="360" w:lineRule="auto"/>
              <w:jc w:val="center"/>
              <w:rPr>
                <w:rFonts w:hint="default" w:asciiTheme="minorEastAsia" w:hAnsiTheme="minorEastAsia" w:eastAsiaTheme="minorEastAsia" w:cstheme="minorEastAsia"/>
                <w:color w:val="000000"/>
                <w:spacing w:val="0"/>
                <w:w w:val="100"/>
                <w:position w:val="0"/>
                <w:sz w:val="21"/>
                <w:szCs w:val="21"/>
                <w:lang w:val="en-US" w:eastAsia="zh-CN"/>
              </w:rPr>
            </w:pPr>
            <w:r>
              <w:rPr>
                <w:rFonts w:hint="eastAsia" w:asciiTheme="minorEastAsia" w:hAnsiTheme="minorEastAsia" w:eastAsiaTheme="minorEastAsia" w:cstheme="minorEastAsia"/>
                <w:b/>
                <w:bCs/>
                <w:color w:val="000000"/>
                <w:spacing w:val="0"/>
                <w:w w:val="100"/>
                <w:position w:val="0"/>
                <w:sz w:val="24"/>
                <w:szCs w:val="24"/>
                <w:lang w:val="en-US" w:eastAsia="zh-CN"/>
              </w:rPr>
              <w:t>会计学专业法务会计方向课程设置</w:t>
            </w:r>
          </w:p>
        </w:tc>
      </w:tr>
      <w:tr w14:paraId="1DD6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4" w:type="pct"/>
          </w:tcPr>
          <w:p w14:paraId="3CB13F8F">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基础必修课</w:t>
            </w:r>
          </w:p>
        </w:tc>
        <w:tc>
          <w:tcPr>
            <w:tcW w:w="4115" w:type="pct"/>
          </w:tcPr>
          <w:p w14:paraId="6733C2E7">
            <w:pPr>
              <w:shd w:val="clear"/>
              <w:spacing w:line="360" w:lineRule="auto"/>
              <w:rPr>
                <w:rFonts w:hint="eastAsia" w:eastAsia="宋体" w:asciiTheme="minorEastAsia" w:hAnsiTheme="minorEastAsia" w:cstheme="minorEastAsia"/>
                <w:i w:val="0"/>
                <w:iCs w:val="0"/>
                <w:caps w:val="0"/>
                <w:color w:val="auto"/>
                <w:spacing w:val="0"/>
                <w:sz w:val="21"/>
                <w:szCs w:val="21"/>
                <w:vertAlign w:val="baseline"/>
                <w:lang w:eastAsia="zh-CN"/>
              </w:rPr>
            </w:pPr>
            <w:r>
              <w:rPr>
                <w:rFonts w:ascii="宋体" w:hAnsi="宋体" w:eastAsia="宋体" w:cs="宋体"/>
                <w:spacing w:val="9"/>
                <w:sz w:val="23"/>
                <w:szCs w:val="23"/>
              </w:rPr>
              <w:t xml:space="preserve">管理学原理、企业战略管理、市场营销、财务管理 </w:t>
            </w:r>
            <w:r>
              <w:rPr>
                <w:rFonts w:hint="eastAsia" w:ascii="宋体" w:hAnsi="宋体" w:eastAsia="宋体" w:cs="宋体"/>
                <w:spacing w:val="9"/>
                <w:sz w:val="23"/>
                <w:szCs w:val="23"/>
                <w:lang w:eastAsia="zh-CN"/>
              </w:rPr>
              <w:t>（</w:t>
            </w:r>
            <w:r>
              <w:rPr>
                <w:rFonts w:hint="eastAsia" w:ascii="宋体" w:hAnsi="宋体" w:eastAsia="宋体" w:cs="宋体"/>
                <w:spacing w:val="9"/>
                <w:sz w:val="23"/>
                <w:szCs w:val="23"/>
                <w:lang w:val="en-US" w:eastAsia="zh-CN"/>
              </w:rPr>
              <w:t>申硕考试科目</w:t>
            </w:r>
            <w:r>
              <w:rPr>
                <w:rFonts w:hint="eastAsia" w:ascii="宋体" w:hAnsi="宋体" w:eastAsia="宋体" w:cs="宋体"/>
                <w:spacing w:val="9"/>
                <w:sz w:val="23"/>
                <w:szCs w:val="23"/>
                <w:lang w:eastAsia="zh-CN"/>
              </w:rPr>
              <w:t>）</w:t>
            </w:r>
          </w:p>
        </w:tc>
      </w:tr>
      <w:tr w14:paraId="3389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pct"/>
          </w:tcPr>
          <w:p w14:paraId="0AA9F5B9">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专业必修课</w:t>
            </w:r>
          </w:p>
        </w:tc>
        <w:tc>
          <w:tcPr>
            <w:tcW w:w="4115" w:type="pct"/>
          </w:tcPr>
          <w:p w14:paraId="7642A450">
            <w:pPr>
              <w:shd w:val="clear" w:color="auto" w:fill="auto"/>
              <w:spacing w:line="360" w:lineRule="auto"/>
              <w:rPr>
                <w:rFonts w:hint="eastAsia" w:eastAsia="宋体" w:asciiTheme="minorEastAsia" w:hAnsiTheme="minorEastAsia" w:cstheme="minorEastAsia"/>
                <w:i w:val="0"/>
                <w:iCs w:val="0"/>
                <w:caps w:val="0"/>
                <w:color w:val="auto"/>
                <w:spacing w:val="0"/>
                <w:sz w:val="21"/>
                <w:szCs w:val="21"/>
                <w:vertAlign w:val="baseline"/>
                <w:lang w:eastAsia="zh-CN"/>
              </w:rPr>
            </w:pPr>
            <w:r>
              <w:rPr>
                <w:rFonts w:ascii="宋体" w:hAnsi="宋体" w:eastAsia="宋体" w:cs="宋体"/>
                <w:spacing w:val="9"/>
                <w:sz w:val="23"/>
                <w:szCs w:val="23"/>
              </w:rPr>
              <w:t>管理经济学、市场营销管理、战略管理、法务会计研究</w:t>
            </w:r>
            <w:r>
              <w:rPr>
                <w:rFonts w:hint="eastAsia" w:ascii="宋体" w:hAnsi="宋体" w:eastAsia="宋体" w:cs="宋体"/>
                <w:spacing w:val="9"/>
                <w:sz w:val="23"/>
                <w:szCs w:val="23"/>
                <w:lang w:eastAsia="zh-CN"/>
              </w:rPr>
              <w:t>（</w:t>
            </w:r>
            <w:r>
              <w:rPr>
                <w:rFonts w:hint="eastAsia" w:ascii="宋体" w:hAnsi="宋体" w:eastAsia="宋体" w:cs="宋体"/>
                <w:spacing w:val="9"/>
                <w:sz w:val="23"/>
                <w:szCs w:val="23"/>
                <w:lang w:val="en-US" w:eastAsia="zh-CN"/>
              </w:rPr>
              <w:t>申硕校考科目</w:t>
            </w:r>
            <w:r>
              <w:rPr>
                <w:rFonts w:hint="eastAsia" w:ascii="宋体" w:hAnsi="宋体" w:eastAsia="宋体" w:cs="宋体"/>
                <w:spacing w:val="9"/>
                <w:sz w:val="23"/>
                <w:szCs w:val="23"/>
                <w:lang w:eastAsia="zh-CN"/>
              </w:rPr>
              <w:t>）</w:t>
            </w:r>
          </w:p>
        </w:tc>
      </w:tr>
      <w:tr w14:paraId="063C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pct"/>
          </w:tcPr>
          <w:p w14:paraId="6A4D719F">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专业选修课</w:t>
            </w:r>
          </w:p>
        </w:tc>
        <w:tc>
          <w:tcPr>
            <w:tcW w:w="4115" w:type="pct"/>
          </w:tcPr>
          <w:p w14:paraId="21B524BB">
            <w:pPr>
              <w:spacing w:before="185" w:line="376" w:lineRule="auto"/>
              <w:ind w:left="9" w:right="45"/>
              <w:rPr>
                <w:rFonts w:hint="eastAsia" w:asciiTheme="minorEastAsia" w:hAnsiTheme="minorEastAsia" w:eastAsiaTheme="minorEastAsia" w:cstheme="minorEastAsia"/>
                <w:color w:val="000000"/>
                <w:spacing w:val="0"/>
                <w:w w:val="100"/>
                <w:position w:val="0"/>
                <w:sz w:val="21"/>
                <w:szCs w:val="21"/>
                <w:lang w:eastAsia="zh-CN"/>
              </w:rPr>
            </w:pPr>
            <w:r>
              <w:rPr>
                <w:rFonts w:ascii="宋体" w:hAnsi="宋体" w:eastAsia="宋体" w:cs="宋体"/>
                <w:spacing w:val="8"/>
                <w:sz w:val="23"/>
                <w:szCs w:val="23"/>
              </w:rPr>
              <w:t>法务会计与舞弊风险管理、资本金融学、金融监管、会计学、企业合规与</w:t>
            </w:r>
            <w:r>
              <w:rPr>
                <w:rFonts w:ascii="宋体" w:hAnsi="宋体" w:eastAsia="宋体" w:cs="宋体"/>
                <w:spacing w:val="13"/>
                <w:sz w:val="23"/>
                <w:szCs w:val="23"/>
              </w:rPr>
              <w:t>法</w:t>
            </w:r>
            <w:r>
              <w:rPr>
                <w:rFonts w:ascii="宋体" w:hAnsi="宋体" w:eastAsia="宋体" w:cs="宋体"/>
                <w:spacing w:val="8"/>
                <w:sz w:val="23"/>
                <w:szCs w:val="23"/>
              </w:rPr>
              <w:t>律风险、管理会计、组织行为学、财务报表分析、人力资源管理、国际</w:t>
            </w:r>
            <w:r>
              <mc:AlternateContent>
                <mc:Choice Requires="wps">
                  <w:drawing>
                    <wp:anchor distT="0" distB="0" distL="114300" distR="114300" simplePos="0" relativeHeight="251661312" behindDoc="0" locked="0" layoutInCell="0" allowOverlap="1">
                      <wp:simplePos x="0" y="0"/>
                      <wp:positionH relativeFrom="page">
                        <wp:posOffset>899795</wp:posOffset>
                      </wp:positionH>
                      <wp:positionV relativeFrom="page">
                        <wp:posOffset>732155</wp:posOffset>
                      </wp:positionV>
                      <wp:extent cx="57613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85pt;margin-top:57.65pt;height:0.75pt;width:453.65pt;mso-position-horizontal-relative:page;mso-position-vertical-relative:page;z-index:251661312;mso-width-relative:page;mso-height-relative:page;" fillcolor="#000000" filled="t" stroked="f" coordsize="9072,15" o:allowincell="f" o:gfxdata="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xabsvZAAAADAEAAA8AAAAA&#10;AAAAAQAgAAAAIgAAAGRycy9kb3ducmV2LnhtbFBLAQIUABQAAAAIAIdO4kBbK0JbEwIAAHsEAAAO&#10;AAAAAAAAAAEAIAAAACgBAABkcnMvZTJvRG9jLnhtbFBLBQYAAAAABgAGAFkBAACtBQAAAAA=&#10;" path="m0,0l9072,0,9072,14,0,14,0,0xe">
                      <v:path/>
                      <v:fill on="t" focussize="0,0"/>
                      <v:stroke on="f"/>
                      <v:imagedata o:title=""/>
                      <o:lock v:ext="edit"/>
                    </v:shape>
                  </w:pict>
                </mc:Fallback>
              </mc:AlternateContent>
            </w:r>
            <w:r>
              <w:rPr>
                <w:rFonts w:ascii="宋体" w:hAnsi="宋体" w:eastAsia="宋体" w:cs="宋体"/>
                <w:spacing w:val="13"/>
                <w:sz w:val="23"/>
                <w:szCs w:val="23"/>
              </w:rPr>
              <w:t>贸</w:t>
            </w:r>
            <w:r>
              <w:rPr>
                <w:rFonts w:ascii="宋体" w:hAnsi="宋体" w:eastAsia="宋体" w:cs="宋体"/>
                <w:spacing w:val="8"/>
                <w:sz w:val="23"/>
                <w:szCs w:val="23"/>
              </w:rPr>
              <w:t>易实务、高级财务会计、审计理论与方法、会计理论、高级管理会计、</w:t>
            </w:r>
            <w:r>
              <w:rPr>
                <w:rFonts w:ascii="宋体" w:hAnsi="宋体" w:eastAsia="宋体" w:cs="宋体"/>
                <w:sz w:val="23"/>
                <w:szCs w:val="23"/>
              </w:rPr>
              <w:t xml:space="preserve"> </w:t>
            </w:r>
            <w:r>
              <w:rPr>
                <w:rFonts w:ascii="宋体" w:hAnsi="宋体" w:eastAsia="宋体" w:cs="宋体"/>
                <w:spacing w:val="17"/>
                <w:sz w:val="23"/>
                <w:szCs w:val="23"/>
              </w:rPr>
              <w:t>诉</w:t>
            </w:r>
            <w:r>
              <w:rPr>
                <w:rFonts w:ascii="宋体" w:hAnsi="宋体" w:eastAsia="宋体" w:cs="宋体"/>
                <w:spacing w:val="9"/>
                <w:sz w:val="23"/>
                <w:szCs w:val="23"/>
              </w:rPr>
              <w:t>讼法学、证据法学、经济法、证券法</w:t>
            </w:r>
          </w:p>
        </w:tc>
      </w:tr>
    </w:tbl>
    <w:p w14:paraId="6D102DE2">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lang w:eastAsia="zh-CN"/>
        </w:rPr>
        <w:t>注：具体参照实际教学</w:t>
      </w:r>
    </w:p>
    <w:p w14:paraId="67D8B2F3">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67EDD6D3">
      <w:pPr>
        <w:spacing w:line="360" w:lineRule="auto"/>
        <w:jc w:val="both"/>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三、学制及教学方式</w:t>
      </w:r>
    </w:p>
    <w:p w14:paraId="18F72DA1">
      <w:pPr>
        <w:numPr>
          <w:ilvl w:val="0"/>
          <w:numId w:val="2"/>
        </w:numPr>
        <w:spacing w:line="360" w:lineRule="auto"/>
        <w:jc w:val="both"/>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学制：2年</w:t>
      </w:r>
    </w:p>
    <w:p w14:paraId="6061B754">
      <w:pPr>
        <w:numPr>
          <w:ilvl w:val="0"/>
          <w:numId w:val="2"/>
        </w:numPr>
        <w:spacing w:line="360" w:lineRule="auto"/>
        <w:jc w:val="both"/>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采取网络授课和面授相结合的教学方式。</w:t>
      </w:r>
    </w:p>
    <w:p w14:paraId="3EBB1CC8">
      <w:pPr>
        <w:numPr>
          <w:ilvl w:val="0"/>
          <w:numId w:val="0"/>
        </w:numPr>
        <w:spacing w:line="360" w:lineRule="auto"/>
        <w:ind w:leftChars="0" w:right="0" w:rightChars="0"/>
        <w:jc w:val="both"/>
        <w:rPr>
          <w:rFonts w:hint="eastAsia" w:asciiTheme="minorEastAsia" w:hAnsiTheme="minorEastAsia" w:eastAsiaTheme="minorEastAsia" w:cstheme="minorEastAsia"/>
          <w:i w:val="0"/>
          <w:iCs w:val="0"/>
          <w:caps w:val="0"/>
          <w:color w:val="auto"/>
          <w:spacing w:val="0"/>
          <w:sz w:val="21"/>
          <w:szCs w:val="21"/>
          <w:lang w:val="en-US" w:eastAsia="zh-CN"/>
        </w:rPr>
      </w:pPr>
    </w:p>
    <w:p w14:paraId="7D0B261D">
      <w:pPr>
        <w:shd w:val="clear" w:color="auto" w:fill="auto"/>
        <w:spacing w:line="360" w:lineRule="auto"/>
        <w:jc w:val="both"/>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四、报名条件及报名材料</w:t>
      </w:r>
    </w:p>
    <w:p w14:paraId="3D29BBC5">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1" w:name="bookmark15"/>
      <w:r>
        <w:rPr>
          <w:rFonts w:hint="eastAsia" w:asciiTheme="minorEastAsia" w:hAnsiTheme="minorEastAsia" w:eastAsiaTheme="minorEastAsia" w:cstheme="minorEastAsia"/>
          <w:i w:val="0"/>
          <w:iCs w:val="0"/>
          <w:caps w:val="0"/>
          <w:color w:val="auto"/>
          <w:spacing w:val="0"/>
          <w:sz w:val="21"/>
          <w:szCs w:val="21"/>
          <w:lang w:eastAsia="zh-CN"/>
        </w:rPr>
        <w:t>1</w:t>
      </w:r>
      <w:bookmarkEnd w:id="1"/>
      <w:r>
        <w:rPr>
          <w:rFonts w:hint="eastAsia" w:asciiTheme="minorEastAsia" w:hAnsiTheme="minorEastAsia" w:eastAsiaTheme="minorEastAsia" w:cstheme="minorEastAsia"/>
          <w:i w:val="0"/>
          <w:iCs w:val="0"/>
          <w:caps w:val="0"/>
          <w:color w:val="auto"/>
          <w:spacing w:val="0"/>
          <w:sz w:val="21"/>
          <w:szCs w:val="21"/>
          <w:lang w:eastAsia="zh-CN"/>
        </w:rPr>
        <w:t>、拥护《中华人民共和国宪法》，遵纪守法，品行端正，身体健康。</w:t>
      </w:r>
    </w:p>
    <w:p w14:paraId="71482BB0">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2" w:name="bookmark16"/>
      <w:r>
        <w:rPr>
          <w:rFonts w:hint="eastAsia" w:asciiTheme="minorEastAsia" w:hAnsiTheme="minorEastAsia" w:eastAsiaTheme="minorEastAsia" w:cstheme="minorEastAsia"/>
          <w:i w:val="0"/>
          <w:iCs w:val="0"/>
          <w:caps w:val="0"/>
          <w:color w:val="auto"/>
          <w:spacing w:val="0"/>
          <w:sz w:val="21"/>
          <w:szCs w:val="21"/>
          <w:lang w:eastAsia="zh-CN"/>
        </w:rPr>
        <w:t>2</w:t>
      </w:r>
      <w:bookmarkEnd w:id="2"/>
      <w:r>
        <w:rPr>
          <w:rFonts w:hint="eastAsia" w:asciiTheme="minorEastAsia" w:hAnsiTheme="minorEastAsia" w:eastAsiaTheme="minorEastAsia" w:cstheme="minorEastAsia"/>
          <w:i w:val="0"/>
          <w:iCs w:val="0"/>
          <w:caps w:val="0"/>
          <w:color w:val="auto"/>
          <w:spacing w:val="0"/>
          <w:sz w:val="21"/>
          <w:szCs w:val="21"/>
          <w:lang w:eastAsia="zh-CN"/>
        </w:rPr>
        <w:t>、具有大专以上学历者，欲申请硕士学位者需具有本科学士学位。</w:t>
      </w:r>
    </w:p>
    <w:p w14:paraId="7FD4B88B">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3" w:name="bookmark17"/>
      <w:r>
        <w:rPr>
          <w:rFonts w:hint="eastAsia" w:asciiTheme="minorEastAsia" w:hAnsiTheme="minorEastAsia" w:eastAsiaTheme="minorEastAsia" w:cstheme="minorEastAsia"/>
          <w:i w:val="0"/>
          <w:iCs w:val="0"/>
          <w:caps w:val="0"/>
          <w:color w:val="auto"/>
          <w:spacing w:val="0"/>
          <w:sz w:val="21"/>
          <w:szCs w:val="21"/>
          <w:lang w:eastAsia="zh-CN"/>
        </w:rPr>
        <w:t>3</w:t>
      </w:r>
      <w:bookmarkEnd w:id="3"/>
      <w:r>
        <w:rPr>
          <w:rFonts w:hint="eastAsia" w:asciiTheme="minorEastAsia" w:hAnsiTheme="minorEastAsia" w:eastAsiaTheme="minorEastAsia" w:cstheme="minorEastAsia"/>
          <w:i w:val="0"/>
          <w:iCs w:val="0"/>
          <w:caps w:val="0"/>
          <w:color w:val="auto"/>
          <w:spacing w:val="0"/>
          <w:sz w:val="21"/>
          <w:szCs w:val="21"/>
          <w:lang w:eastAsia="zh-CN"/>
        </w:rPr>
        <w:t>、报名材料：报名表、身份证、最高学历和学位证复印件各1份，1寸和2寸近期免冠蓝底照片各2 张。</w:t>
      </w:r>
    </w:p>
    <w:p w14:paraId="583936C9">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lang w:eastAsia="zh-CN"/>
        </w:rPr>
      </w:pPr>
    </w:p>
    <w:p w14:paraId="7B2BAE24">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五、</w:t>
      </w:r>
      <w:r>
        <w:rPr>
          <w:rFonts w:hint="eastAsia" w:asciiTheme="minorEastAsia" w:hAnsiTheme="minorEastAsia" w:eastAsiaTheme="minorEastAsia" w:cstheme="minorEastAsia"/>
          <w:b/>
          <w:bCs/>
          <w:sz w:val="21"/>
          <w:szCs w:val="21"/>
        </w:rPr>
        <w:t>考试（考核）与结业</w:t>
      </w:r>
    </w:p>
    <w:p w14:paraId="62CE377C">
      <w:pPr>
        <w:pStyle w:val="9"/>
        <w:keepNext w:val="0"/>
        <w:keepLines w:val="0"/>
        <w:widowControl w:val="0"/>
        <w:shd w:val="clear" w:color="auto" w:fill="auto"/>
        <w:tabs>
          <w:tab w:val="left" w:pos="505"/>
        </w:tabs>
        <w:bidi w:val="0"/>
        <w:spacing w:before="0" w:after="80" w:line="360" w:lineRule="auto"/>
        <w:ind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学员完成教学计划规定课程者，经学院考试（考核）合格后，颁发</w:t>
      </w:r>
      <w:r>
        <w:rPr>
          <w:rFonts w:hint="eastAsia" w:asciiTheme="minorEastAsia" w:hAnsiTheme="minorEastAsia" w:eastAsiaTheme="minorEastAsia" w:cstheme="minorEastAsia"/>
          <w:sz w:val="21"/>
          <w:szCs w:val="21"/>
          <w:lang w:val="zh-CN" w:eastAsia="zh-CN"/>
        </w:rPr>
        <w:t>“中</w:t>
      </w:r>
      <w:r>
        <w:rPr>
          <w:rFonts w:hint="eastAsia" w:asciiTheme="minorEastAsia" w:hAnsiTheme="minorEastAsia" w:eastAsiaTheme="minorEastAsia" w:cstheme="minorEastAsia"/>
          <w:sz w:val="21"/>
          <w:szCs w:val="21"/>
        </w:rPr>
        <w:t>国政法大学同等学力研修班证书”（证书加盖学校钢印、校印、校长印</w:t>
      </w:r>
      <w:r>
        <w:rPr>
          <w:rFonts w:hint="eastAsia" w:asciiTheme="minorEastAsia" w:hAnsiTheme="minorEastAsia" w:eastAsiaTheme="minorEastAsia" w:cstheme="minorEastAsia"/>
          <w:sz w:val="21"/>
          <w:szCs w:val="21"/>
          <w:lang w:eastAsia="zh-CN"/>
        </w:rPr>
        <w:t>，出具中国政法大学教务部门盖章的写实性学习成绩证明</w:t>
      </w:r>
      <w:r>
        <w:rPr>
          <w:rFonts w:hint="eastAsia" w:asciiTheme="minorEastAsia" w:hAnsiTheme="minorEastAsia" w:eastAsiaTheme="minorEastAsia" w:cstheme="minorEastAsia"/>
          <w:sz w:val="21"/>
          <w:szCs w:val="21"/>
        </w:rPr>
        <w:t>）。</w:t>
      </w:r>
    </w:p>
    <w:p w14:paraId="56FBB9EF">
      <w:pPr>
        <w:pStyle w:val="9"/>
        <w:keepNext w:val="0"/>
        <w:keepLines w:val="0"/>
        <w:widowControl w:val="0"/>
        <w:shd w:val="clear" w:color="auto" w:fill="auto"/>
        <w:tabs>
          <w:tab w:val="left" w:pos="505"/>
        </w:tabs>
        <w:bidi w:val="0"/>
        <w:spacing w:before="0" w:after="80" w:line="360" w:lineRule="auto"/>
        <w:ind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符合硕士学位申请条件的，可以按国务院学位办(1998)54 号文件和中国政法大学学位办的有关规定申请硕士学位。</w:t>
      </w:r>
    </w:p>
    <w:p w14:paraId="0A06897B">
      <w:pPr>
        <w:pStyle w:val="9"/>
        <w:keepNext w:val="0"/>
        <w:keepLines w:val="0"/>
        <w:widowControl w:val="0"/>
        <w:shd w:val="clear" w:color="auto" w:fill="auto"/>
        <w:tabs>
          <w:tab w:val="left" w:pos="505"/>
        </w:tabs>
        <w:bidi w:val="0"/>
        <w:spacing w:before="0" w:line="360" w:lineRule="auto"/>
        <w:ind w:left="0" w:right="0" w:firstLine="0"/>
        <w:jc w:val="both"/>
        <w:rPr>
          <w:rFonts w:hint="eastAsia" w:asciiTheme="minorEastAsia" w:hAnsiTheme="minorEastAsia" w:eastAsiaTheme="minorEastAsia" w:cstheme="minorEastAsia"/>
          <w:color w:val="000000"/>
          <w:spacing w:val="0"/>
          <w:w w:val="100"/>
          <w:position w:val="0"/>
          <w:sz w:val="21"/>
          <w:szCs w:val="21"/>
          <w:lang w:eastAsia="zh-CN"/>
        </w:rPr>
      </w:pPr>
    </w:p>
    <w:p w14:paraId="4153A591">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六、申硕条件</w:t>
      </w:r>
    </w:p>
    <w:p w14:paraId="1810EB7C">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1、申请人必须是已获学士学位并工作三年及以上，或已获硕士、博士学位。</w:t>
      </w:r>
    </w:p>
    <w:p w14:paraId="2BF63725">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2、在申请学位的专业或相近专业发表有关的不少于3000字的科研成果（或可在论文答辩审核之前提供）。</w:t>
      </w:r>
    </w:p>
    <w:p w14:paraId="4F6B6DE4">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3、在规定时间内通过中国政法大学组织的同等学力人员申请硕士学位的学位课程考试。</w:t>
      </w:r>
    </w:p>
    <w:p w14:paraId="7E8EE296">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4、在规定时间内通过全国统一的同等学力人员申请硕士学位的外语考试和学科综合考试。</w:t>
      </w:r>
    </w:p>
    <w:p w14:paraId="5A69C8A3">
      <w:pPr>
        <w:pStyle w:val="9"/>
        <w:keepNext w:val="0"/>
        <w:keepLines w:val="0"/>
        <w:widowControl w:val="0"/>
        <w:numPr>
          <w:ilvl w:val="0"/>
          <w:numId w:val="3"/>
        </w:numPr>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资格审查合格后，申请人必须在五年内（资审通过之日起算）通过上述学位课考试（校考）与全国统一考试（国考）。</w:t>
      </w:r>
    </w:p>
    <w:p w14:paraId="7501D088">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sz w:val="21"/>
          <w:szCs w:val="21"/>
          <w:lang w:eastAsia="zh-CN"/>
        </w:rPr>
      </w:pPr>
    </w:p>
    <w:p w14:paraId="31D5C556">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bCs/>
          <w:color w:val="000000"/>
          <w:spacing w:val="0"/>
          <w:w w:val="100"/>
          <w:position w:val="0"/>
          <w:sz w:val="21"/>
          <w:szCs w:val="21"/>
          <w:lang w:eastAsia="zh-CN"/>
        </w:rPr>
      </w:pPr>
      <w:r>
        <w:rPr>
          <w:rFonts w:hint="eastAsia" w:asciiTheme="minorEastAsia" w:hAnsiTheme="minorEastAsia" w:eastAsiaTheme="minorEastAsia" w:cstheme="minorEastAsia"/>
          <w:b/>
          <w:bCs/>
          <w:color w:val="000000"/>
          <w:spacing w:val="0"/>
          <w:w w:val="100"/>
          <w:position w:val="0"/>
          <w:sz w:val="21"/>
          <w:szCs w:val="21"/>
          <w:lang w:eastAsia="zh-CN"/>
        </w:rPr>
        <w:t>七、收费标准</w:t>
      </w:r>
    </w:p>
    <w:p w14:paraId="49950AF6">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1、研修班学费36800元/两年；</w:t>
      </w:r>
    </w:p>
    <w:p w14:paraId="255250F1">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2、申请硕士学位的费用：14000元，包含资格审查费、学位课考试费、指导费、答辩费（具体数额以学员申请 硕士学位时中国政法大学的具体收费标准为准）；</w:t>
      </w:r>
    </w:p>
    <w:p w14:paraId="1E23F310">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3、同等学力人员申请硕士学位全国统一考试所发生的费用由学生自行负担。</w:t>
      </w:r>
    </w:p>
    <w:p w14:paraId="2850EE2F">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4、交费方式 ：学校平台统一支付。</w:t>
      </w:r>
    </w:p>
    <w:p w14:paraId="2B18FD61">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研修班正式开课后，学员因故不能坚持进修，视为自动放弃学习，不予退费。</w:t>
      </w:r>
    </w:p>
    <w:p w14:paraId="03F290AC">
      <w:pPr>
        <w:pStyle w:val="9"/>
        <w:keepNext w:val="0"/>
        <w:keepLines w:val="0"/>
        <w:widowControl w:val="0"/>
        <w:numPr>
          <w:ilvl w:val="0"/>
          <w:numId w:val="0"/>
        </w:numPr>
        <w:shd w:val="clear" w:color="auto" w:fill="auto"/>
        <w:bidi w:val="0"/>
        <w:spacing w:before="0" w:after="180" w:line="360" w:lineRule="auto"/>
        <w:ind w:leftChars="0" w:right="0" w:rightChars="0"/>
        <w:jc w:val="both"/>
        <w:rPr>
          <w:rFonts w:hint="default" w:asciiTheme="minorEastAsia" w:hAnsiTheme="minorEastAsia" w:eastAsiaTheme="minorEastAsia" w:cstheme="minorEastAsia"/>
          <w:sz w:val="21"/>
          <w:szCs w:val="21"/>
          <w:lang w:val="en-US" w:eastAsia="zh-CN"/>
        </w:rPr>
      </w:pPr>
      <w:bookmarkStart w:id="4" w:name="_GoBack"/>
      <w:bookmarkEnd w:id="4"/>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4F0F9">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93995"/>
          <wp:effectExtent l="0" t="0" r="2540" b="1905"/>
          <wp:wrapNone/>
          <wp:docPr id="2" name="WordPictureWatermark27156" descr="法大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156" descr="法大水印"/>
                  <pic:cNvPicPr>
                    <a:picLocks noChangeAspect="1"/>
                  </pic:cNvPicPr>
                </pic:nvPicPr>
                <pic:blipFill>
                  <a:blip r:embed="rId1">
                    <a:lum bright="69998" contrast="-70001"/>
                  </a:blip>
                  <a:stretch>
                    <a:fillRect/>
                  </a:stretch>
                </pic:blipFill>
                <pic:spPr>
                  <a:xfrm>
                    <a:off x="0" y="0"/>
                    <a:ext cx="5274310" cy="5293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69EE5"/>
    <w:multiLevelType w:val="singleLevel"/>
    <w:tmpl w:val="A4269EE5"/>
    <w:lvl w:ilvl="0" w:tentative="0">
      <w:start w:val="5"/>
      <w:numFmt w:val="decimal"/>
      <w:suff w:val="nothing"/>
      <w:lvlText w:val="%1、"/>
      <w:lvlJc w:val="left"/>
    </w:lvl>
  </w:abstractNum>
  <w:abstractNum w:abstractNumId="1">
    <w:nsid w:val="5084E203"/>
    <w:multiLevelType w:val="singleLevel"/>
    <w:tmpl w:val="5084E203"/>
    <w:lvl w:ilvl="0" w:tentative="0">
      <w:start w:val="2"/>
      <w:numFmt w:val="chineseCounting"/>
      <w:suff w:val="nothing"/>
      <w:lvlText w:val="%1、"/>
      <w:lvlJc w:val="left"/>
      <w:rPr>
        <w:rFonts w:hint="eastAsia"/>
      </w:rPr>
    </w:lvl>
  </w:abstractNum>
  <w:abstractNum w:abstractNumId="2">
    <w:nsid w:val="665A32E8"/>
    <w:multiLevelType w:val="singleLevel"/>
    <w:tmpl w:val="665A32E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M2N2E2YzA2ZDc1ODMyNDk3MDM3OTQ1ZmEwZjAifQ=="/>
  </w:docVars>
  <w:rsids>
    <w:rsidRoot w:val="2A9D1E72"/>
    <w:rsid w:val="1311126E"/>
    <w:rsid w:val="1B693ACB"/>
    <w:rsid w:val="1FBB5CF9"/>
    <w:rsid w:val="27F531EF"/>
    <w:rsid w:val="29657728"/>
    <w:rsid w:val="2A9D1E72"/>
    <w:rsid w:val="31AA504A"/>
    <w:rsid w:val="336B4A5C"/>
    <w:rsid w:val="33F0253C"/>
    <w:rsid w:val="352D683C"/>
    <w:rsid w:val="3E771004"/>
    <w:rsid w:val="48F05114"/>
    <w:rsid w:val="53261526"/>
    <w:rsid w:val="6CFB7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Heading #2|1"/>
    <w:basedOn w:val="1"/>
    <w:qFormat/>
    <w:uiPriority w:val="0"/>
    <w:pPr>
      <w:widowControl w:val="0"/>
      <w:shd w:val="clear" w:color="auto" w:fill="auto"/>
      <w:spacing w:after="340"/>
      <w:jc w:val="center"/>
      <w:outlineLvl w:val="1"/>
    </w:pPr>
    <w:rPr>
      <w:sz w:val="30"/>
      <w:szCs w:val="30"/>
      <w:u w:val="none"/>
      <w:shd w:val="clear" w:color="auto" w:fill="auto"/>
    </w:rPr>
  </w:style>
  <w:style w:type="paragraph" w:customStyle="1" w:styleId="9">
    <w:name w:val="Body text|1"/>
    <w:basedOn w:val="1"/>
    <w:qFormat/>
    <w:uiPriority w:val="0"/>
    <w:pPr>
      <w:widowControl w:val="0"/>
      <w:shd w:val="clear" w:color="auto" w:fill="auto"/>
      <w:spacing w:after="40" w:line="295" w:lineRule="auto"/>
    </w:pPr>
    <w:rPr>
      <w:rFonts w:ascii="宋体" w:hAnsi="宋体" w:eastAsia="宋体" w:cs="宋体"/>
      <w:sz w:val="22"/>
      <w:szCs w:val="22"/>
      <w:u w:val="none"/>
      <w:shd w:val="clear" w:color="auto" w:fill="auto"/>
      <w:lang w:val="zh-TW" w:eastAsia="zh-TW" w:bidi="zh-TW"/>
    </w:rPr>
  </w:style>
  <w:style w:type="paragraph" w:customStyle="1" w:styleId="10">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1698</Words>
  <Characters>1739</Characters>
  <Lines>0</Lines>
  <Paragraphs>0</Paragraphs>
  <TotalTime>0</TotalTime>
  <ScaleCrop>false</ScaleCrop>
  <LinksUpToDate>false</LinksUpToDate>
  <CharactersWithSpaces>1744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2023-02-06T02:33:00Z</dcterms:created>
  <dc:creator>Administrator</dc:creator>
  <cp:lastModifiedBy>Administrator</cp:lastModifiedBy>
  <dcterms:modified xsi:type="dcterms:W3CDTF">2026-01-14T03:47:10Z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C64E19BCDFDE4D4EBFCB96FAC29B40F7</vt:lpwstr>
  </property>
  <property fmtid="{D5CDD505-2E9C-101B-9397-08002B2CF9AE}" pid="4" name="KSOTemplateDocerSaveRecord">
    <vt:lpwstr>eyJoZGlkIjoiMjJkYmYyOGQwNjU2YTFjYjBlYWQzZDdlZjc2Nzk1ZWYifQ==</vt:lpwstr>
  </property>
</Properties>
</file>