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66776">
      <w:pPr>
        <w:pStyle w:val="8"/>
        <w:keepNext/>
        <w:keepLines/>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b/>
          <w:bCs/>
          <w:color w:val="auto"/>
          <w:sz w:val="32"/>
          <w:szCs w:val="32"/>
        </w:rPr>
      </w:pPr>
      <w:bookmarkStart w:id="0" w:name="bookmark6"/>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-88900</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lang w:val="en-US" w:eastAsia="zh-CN" w:bidi="zh-TW"/>
        </w:rPr>
        <w:t>中国政法大学企业管理专业</w:t>
      </w:r>
      <w:r>
        <w:rPr>
          <w:rFonts w:hint="eastAsia" w:asciiTheme="minorEastAsia" w:hAnsiTheme="minorEastAsia" w:eastAsiaTheme="minorEastAsia" w:cstheme="minorEastAsia"/>
          <w:b/>
          <w:bCs/>
          <w:color w:val="auto"/>
          <w:spacing w:val="0"/>
          <w:w w:val="100"/>
          <w:position w:val="0"/>
          <w:sz w:val="32"/>
          <w:szCs w:val="32"/>
          <w:lang w:val="zh-TW" w:eastAsia="zh-TW" w:bidi="zh-TW"/>
        </w:rPr>
        <w:t>同等学力研修班招生简章</w:t>
      </w:r>
      <w:bookmarkEnd w:id="0"/>
    </w:p>
    <w:p w14:paraId="100CA1CA">
      <w:pPr>
        <w:spacing w:line="360" w:lineRule="auto"/>
        <w:ind w:firstLine="420" w:firstLineChars="200"/>
        <w:jc w:val="both"/>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73F4FF81">
      <w:pPr>
        <w:spacing w:line="360" w:lineRule="auto"/>
        <w:rPr>
          <w:rFonts w:hint="eastAsia" w:asciiTheme="minorEastAsia" w:hAnsiTheme="minorEastAsia" w:eastAsiaTheme="minorEastAsia" w:cstheme="minorEastAsia"/>
          <w:color w:val="auto"/>
          <w:sz w:val="21"/>
          <w:szCs w:val="21"/>
          <w:lang w:eastAsia="zh-CN"/>
        </w:rPr>
      </w:pPr>
    </w:p>
    <w:p w14:paraId="40F34E63">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4FA6E6ED">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商学院是中国政法大学主要学院之一。学院依托1995年设立的工商管理本科专业，于2002年在整合我校经济、管理和法律师资及教学资源基础上正式组建。2017年，商学院作为中国政法大学教学改革创新试点单位，以“一主两翼，创新发展，培养社会需要的复合型人才”为办学理念，对原有院所体系进行了全面整合，依托中国政法大学法学优势，明确提出了“一主两翼”的发展方向，即以工商管理和经济学为主导，以法商管理和融商 管理为“两翼”的发展模式。</w:t>
      </w:r>
    </w:p>
    <w:p w14:paraId="7F5DFDD6">
      <w:pPr>
        <w:spacing w:line="360" w:lineRule="auto"/>
        <w:ind w:firstLine="420" w:firstLineChars="200"/>
        <w:jc w:val="both"/>
        <w:rPr>
          <w:rFonts w:hint="eastAsia" w:asciiTheme="minorEastAsia" w:hAnsiTheme="minorEastAsia" w:eastAsiaTheme="minorEastAsia" w:cstheme="minorEastAsia"/>
          <w:color w:val="auto"/>
          <w:spacing w:val="0"/>
          <w:w w:val="100"/>
          <w:position w:val="0"/>
          <w:sz w:val="21"/>
          <w:szCs w:val="21"/>
          <w:lang w:eastAsia="zh-CN"/>
        </w:rPr>
      </w:pPr>
      <w:r>
        <w:rPr>
          <w:rFonts w:hint="eastAsia" w:asciiTheme="minorEastAsia" w:hAnsiTheme="minorEastAsia" w:eastAsiaTheme="minorEastAsia" w:cstheme="minorEastAsia"/>
          <w:color w:val="auto"/>
          <w:spacing w:val="0"/>
          <w:w w:val="100"/>
          <w:position w:val="0"/>
          <w:sz w:val="21"/>
          <w:szCs w:val="21"/>
          <w:lang w:eastAsia="zh-CN"/>
        </w:rPr>
        <w:t>企业管理专业是一门应用十分广泛的学科。学科旨在培养高层次、应用型的企业管理人才。随着知识时代的来临，企业对专业管理人才愈发需求。中国政法大学企业管理专业是工商管理系的下设专业之一。工商管理系立足中国企业管理实践、把握学科发展趋势，以推动中国管理理论发展、培养具有国际竞争优势的高素质管理人才为使命，在大数据与智能商务、法商与战略管理、创新创业、企业管理等重点领域建立学科优势。</w:t>
      </w:r>
    </w:p>
    <w:p w14:paraId="16CAC9DC">
      <w:pPr>
        <w:spacing w:line="36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企业管理</w:t>
      </w:r>
      <w:r>
        <w:rPr>
          <w:rFonts w:hint="eastAsia" w:asciiTheme="minorEastAsia" w:hAnsiTheme="minorEastAsia" w:eastAsiaTheme="minorEastAsia" w:cstheme="minorEastAsia"/>
          <w:color w:val="auto"/>
          <w:spacing w:val="0"/>
          <w:w w:val="100"/>
          <w:position w:val="0"/>
          <w:sz w:val="21"/>
          <w:szCs w:val="21"/>
        </w:rPr>
        <w:t>专业同等学力研修班。</w:t>
      </w:r>
      <w:bookmarkStart w:id="4" w:name="_GoBack"/>
      <w:bookmarkEnd w:id="4"/>
    </w:p>
    <w:p w14:paraId="07F780AB">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lang w:eastAsia="zh-CN"/>
        </w:rPr>
        <w:t>企业管理</w:t>
      </w:r>
      <w:r>
        <w:rPr>
          <w:rFonts w:hint="eastAsia" w:asciiTheme="minorEastAsia" w:hAnsiTheme="minorEastAsia" w:eastAsiaTheme="minorEastAsia" w:cstheme="minorEastAsia"/>
          <w:color w:val="auto"/>
          <w:spacing w:val="0"/>
          <w:w w:val="100"/>
          <w:position w:val="0"/>
          <w:sz w:val="21"/>
          <w:szCs w:val="21"/>
        </w:rPr>
        <w:t>专业</w:t>
      </w:r>
      <w:r>
        <w:rPr>
          <w:rFonts w:hint="eastAsia" w:asciiTheme="minorEastAsia" w:hAnsiTheme="minorEastAsia" w:eastAsiaTheme="minorEastAsia" w:cstheme="minorEastAsia"/>
          <w:color w:val="auto"/>
          <w:spacing w:val="0"/>
          <w:w w:val="100"/>
          <w:position w:val="0"/>
          <w:sz w:val="21"/>
          <w:szCs w:val="21"/>
          <w:lang w:eastAsia="zh-CN"/>
        </w:rPr>
        <w:t>（</w:t>
      </w:r>
      <w:r>
        <w:rPr>
          <w:rFonts w:hint="eastAsia" w:asciiTheme="minorEastAsia" w:hAnsiTheme="minorEastAsia" w:eastAsiaTheme="minorEastAsia" w:cstheme="minorEastAsia"/>
          <w:color w:val="auto"/>
          <w:spacing w:val="0"/>
          <w:w w:val="100"/>
          <w:position w:val="0"/>
          <w:sz w:val="21"/>
          <w:szCs w:val="21"/>
          <w:lang w:val="en-US" w:eastAsia="zh-CN"/>
        </w:rPr>
        <w:t>企业管理方向、人力资源方向</w:t>
      </w:r>
      <w:r>
        <w:rPr>
          <w:rFonts w:hint="eastAsia" w:asciiTheme="minorEastAsia" w:hAnsiTheme="minorEastAsia" w:eastAsiaTheme="minorEastAsia" w:cstheme="minorEastAsia"/>
          <w:color w:val="auto"/>
          <w:spacing w:val="0"/>
          <w:w w:val="100"/>
          <w:position w:val="0"/>
          <w:sz w:val="21"/>
          <w:szCs w:val="21"/>
          <w:lang w:eastAsia="zh-CN"/>
        </w:rPr>
        <w:t>）</w:t>
      </w:r>
      <w:r>
        <w:rPr>
          <w:rFonts w:hint="eastAsia" w:asciiTheme="minorEastAsia" w:hAnsiTheme="minorEastAsia" w:eastAsiaTheme="minorEastAsia" w:cstheme="minorEastAsia"/>
          <w:color w:val="auto"/>
          <w:spacing w:val="0"/>
          <w:w w:val="100"/>
          <w:position w:val="0"/>
          <w:sz w:val="21"/>
          <w:szCs w:val="21"/>
        </w:rPr>
        <w:t>同等学力研修班工作由中国政法大学培训学院具体负责，集中学校优势办学资源，全面开展同等学力办学工作。培训实行统一招生、统一教学、统一管理，培训按学科专业进行系统化培养。</w:t>
      </w:r>
    </w:p>
    <w:p w14:paraId="62498531">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48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3"/>
        <w:gridCol w:w="6928"/>
      </w:tblGrid>
      <w:tr w14:paraId="59E5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00" w:type="pct"/>
            <w:gridSpan w:val="2"/>
          </w:tcPr>
          <w:p w14:paraId="4C015C20">
            <w:pPr>
              <w:shd w:val="clear"/>
              <w:spacing w:line="360" w:lineRule="auto"/>
              <w:jc w:val="center"/>
              <w:rPr>
                <w:rFonts w:hint="default" w:asciiTheme="minorEastAsia" w:hAnsiTheme="minorEastAsia" w:eastAsiaTheme="minorEastAsia" w:cstheme="minorEastAsia"/>
                <w:color w:val="000000"/>
                <w:spacing w:val="0"/>
                <w:w w:val="100"/>
                <w:position w:val="0"/>
                <w:sz w:val="21"/>
                <w:szCs w:val="21"/>
                <w:lang w:val="en-US" w:eastAsia="zh-CN"/>
              </w:rPr>
            </w:pPr>
            <w:r>
              <w:rPr>
                <w:rFonts w:hint="eastAsia" w:asciiTheme="minorEastAsia" w:hAnsiTheme="minorEastAsia" w:eastAsiaTheme="minorEastAsia" w:cstheme="minorEastAsia"/>
                <w:b/>
                <w:bCs/>
                <w:color w:val="000000"/>
                <w:spacing w:val="0"/>
                <w:w w:val="100"/>
                <w:position w:val="0"/>
                <w:sz w:val="24"/>
                <w:szCs w:val="24"/>
                <w:lang w:val="en-US" w:eastAsia="zh-CN"/>
              </w:rPr>
              <w:t>企业管理专业企业管理方向课程设置</w:t>
            </w:r>
          </w:p>
        </w:tc>
      </w:tr>
      <w:tr w14:paraId="16F9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2" w:type="pct"/>
          </w:tcPr>
          <w:p w14:paraId="16D2DD3F">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基础必修课</w:t>
            </w:r>
          </w:p>
        </w:tc>
        <w:tc>
          <w:tcPr>
            <w:tcW w:w="4167" w:type="pct"/>
          </w:tcPr>
          <w:p w14:paraId="2730870E">
            <w:pPr>
              <w:shd w:val="clear"/>
              <w:spacing w:line="360" w:lineRule="auto"/>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9"/>
                <w:sz w:val="21"/>
                <w:szCs w:val="21"/>
              </w:rPr>
              <w:t>管理学原理、企业战略管理、市场营销、财务管理</w:t>
            </w:r>
            <w:r>
              <w:rPr>
                <w:rFonts w:hint="eastAsia" w:ascii="宋体" w:hAnsi="宋体" w:eastAsia="宋体" w:cs="宋体"/>
                <w:spacing w:val="9"/>
                <w:sz w:val="21"/>
                <w:szCs w:val="21"/>
                <w:lang w:eastAsia="zh-CN"/>
              </w:rPr>
              <w:t>（</w:t>
            </w:r>
            <w:r>
              <w:rPr>
                <w:rFonts w:hint="eastAsia" w:ascii="宋体" w:hAnsi="宋体" w:eastAsia="宋体" w:cs="宋体"/>
                <w:spacing w:val="9"/>
                <w:sz w:val="21"/>
                <w:szCs w:val="21"/>
                <w:lang w:val="en-US" w:eastAsia="zh-CN"/>
              </w:rPr>
              <w:t>申硕国考科目</w:t>
            </w:r>
            <w:r>
              <w:rPr>
                <w:rFonts w:hint="eastAsia" w:ascii="宋体" w:hAnsi="宋体" w:eastAsia="宋体" w:cs="宋体"/>
                <w:spacing w:val="9"/>
                <w:sz w:val="21"/>
                <w:szCs w:val="21"/>
                <w:lang w:eastAsia="zh-CN"/>
              </w:rPr>
              <w:t>）</w:t>
            </w:r>
          </w:p>
        </w:tc>
      </w:tr>
      <w:tr w14:paraId="0998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tcPr>
          <w:p w14:paraId="55E57D4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专业必修课</w:t>
            </w:r>
          </w:p>
        </w:tc>
        <w:tc>
          <w:tcPr>
            <w:tcW w:w="4167" w:type="pct"/>
          </w:tcPr>
          <w:p w14:paraId="3A515C71">
            <w:pPr>
              <w:shd w:val="clear" w:color="auto" w:fill="auto"/>
              <w:spacing w:line="360" w:lineRule="auto"/>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9"/>
                <w:sz w:val="21"/>
                <w:szCs w:val="21"/>
              </w:rPr>
              <w:t>管理经济学、市场营销管理、战略管理、人力资源管理</w:t>
            </w:r>
            <w:r>
              <w:rPr>
                <w:rFonts w:hint="eastAsia" w:ascii="宋体" w:hAnsi="宋体" w:eastAsia="宋体" w:cs="宋体"/>
                <w:spacing w:val="9"/>
                <w:sz w:val="21"/>
                <w:szCs w:val="21"/>
                <w:lang w:eastAsia="zh-CN"/>
              </w:rPr>
              <w:t>（</w:t>
            </w:r>
            <w:r>
              <w:rPr>
                <w:rFonts w:hint="eastAsia" w:ascii="宋体" w:hAnsi="宋体" w:eastAsia="宋体" w:cs="宋体"/>
                <w:spacing w:val="9"/>
                <w:sz w:val="21"/>
                <w:szCs w:val="21"/>
                <w:lang w:val="en-US" w:eastAsia="zh-CN"/>
              </w:rPr>
              <w:t>申硕校考科目</w:t>
            </w:r>
            <w:r>
              <w:rPr>
                <w:rFonts w:hint="eastAsia" w:ascii="宋体" w:hAnsi="宋体" w:eastAsia="宋体" w:cs="宋体"/>
                <w:spacing w:val="9"/>
                <w:sz w:val="21"/>
                <w:szCs w:val="21"/>
                <w:lang w:eastAsia="zh-CN"/>
              </w:rPr>
              <w:t>）</w:t>
            </w:r>
          </w:p>
        </w:tc>
      </w:tr>
      <w:tr w14:paraId="6C00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tcPr>
          <w:p w14:paraId="6CF3726C">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4167" w:type="pct"/>
          </w:tcPr>
          <w:p w14:paraId="0A8626AA">
            <w:pPr>
              <w:spacing w:before="185" w:line="376" w:lineRule="auto"/>
              <w:ind w:left="9" w:right="45"/>
              <w:rPr>
                <w:rFonts w:hint="eastAsia" w:asciiTheme="minorEastAsia" w:hAnsiTheme="minorEastAsia" w:eastAsiaTheme="minorEastAsia" w:cstheme="minorEastAsia"/>
                <w:color w:val="000000"/>
                <w:spacing w:val="0"/>
                <w:w w:val="100"/>
                <w:position w:val="0"/>
                <w:sz w:val="21"/>
                <w:szCs w:val="21"/>
                <w:lang w:eastAsia="zh-CN"/>
              </w:rPr>
            </w:pPr>
            <w:r>
              <w:rPr>
                <w:rFonts w:ascii="宋体" w:hAnsi="宋体" w:eastAsia="宋体" w:cs="宋体"/>
                <w:spacing w:val="8"/>
                <w:sz w:val="21"/>
                <w:szCs w:val="21"/>
              </w:rPr>
              <w:t>管理研究方法 (论文指导课) 、资本金融学、金融监管、投资学、企业合</w:t>
            </w:r>
            <w:r>
              <w:rPr>
                <w:rFonts w:ascii="宋体" w:hAnsi="宋体" w:eastAsia="宋体" w:cs="宋体"/>
                <w:spacing w:val="13"/>
                <w:sz w:val="21"/>
                <w:szCs w:val="21"/>
              </w:rPr>
              <w:t>规</w:t>
            </w:r>
            <w:r>
              <w:rPr>
                <w:rFonts w:ascii="宋体" w:hAnsi="宋体" w:eastAsia="宋体" w:cs="宋体"/>
                <w:spacing w:val="8"/>
                <w:sz w:val="21"/>
                <w:szCs w:val="21"/>
              </w:rPr>
              <w:t>与法律风险管理、公司治理、组织行为学、商业模式设计与变革、公司</w:t>
            </w:r>
            <w:r>
              <w:rPr>
                <w:rFonts w:ascii="宋体" w:hAnsi="宋体" w:eastAsia="宋体" w:cs="宋体"/>
                <w:sz w:val="21"/>
                <w:szCs w:val="21"/>
              </w:rPr>
              <w:t xml:space="preserve"> </w:t>
            </w:r>
            <w:r>
              <w:rPr>
                <w:rFonts w:ascii="宋体" w:hAnsi="宋体" w:eastAsia="宋体" w:cs="宋体"/>
                <w:spacing w:val="13"/>
                <w:sz w:val="21"/>
                <w:szCs w:val="21"/>
              </w:rPr>
              <w:t>法</w:t>
            </w:r>
            <w:r>
              <w:rPr>
                <w:rFonts w:ascii="宋体" w:hAnsi="宋体" w:eastAsia="宋体" w:cs="宋体"/>
                <w:spacing w:val="8"/>
                <w:sz w:val="21"/>
                <w:szCs w:val="21"/>
              </w:rPr>
              <w:t>与企业法、合同法、战略人力资源管理、国际商务、电子商务与网络营</w:t>
            </w:r>
            <w:r>
              <w:rPr>
                <w:rFonts w:ascii="宋体" w:hAnsi="宋体" w:eastAsia="宋体" w:cs="宋体"/>
                <w:sz w:val="21"/>
                <w:szCs w:val="21"/>
              </w:rPr>
              <w:t xml:space="preserve"> </w:t>
            </w:r>
            <w:r>
              <w:rPr>
                <w:rFonts w:ascii="宋体" w:hAnsi="宋体" w:eastAsia="宋体" w:cs="宋体"/>
                <w:spacing w:val="17"/>
                <w:sz w:val="21"/>
                <w:szCs w:val="21"/>
              </w:rPr>
              <w:t>销</w:t>
            </w:r>
            <w:r>
              <w:rPr>
                <w:rFonts w:ascii="宋体" w:hAnsi="宋体" w:eastAsia="宋体" w:cs="宋体"/>
                <w:spacing w:val="9"/>
                <w:sz w:val="21"/>
                <w:szCs w:val="21"/>
              </w:rPr>
              <w:t>、应用统计分析、财务报表分析、经济法</w:t>
            </w:r>
          </w:p>
        </w:tc>
      </w:tr>
    </w:tbl>
    <w:p w14:paraId="16A7F824">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47B621F4">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p>
    <w:tbl>
      <w:tblPr>
        <w:tblStyle w:val="5"/>
        <w:tblW w:w="48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6943"/>
      </w:tblGrid>
      <w:tr w14:paraId="51ED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00" w:type="pct"/>
            <w:gridSpan w:val="2"/>
          </w:tcPr>
          <w:p w14:paraId="68A69579">
            <w:pPr>
              <w:shd w:val="clear"/>
              <w:spacing w:line="360" w:lineRule="auto"/>
              <w:jc w:val="center"/>
              <w:rPr>
                <w:rFonts w:hint="default" w:asciiTheme="minorEastAsia" w:hAnsiTheme="minorEastAsia" w:eastAsiaTheme="minorEastAsia" w:cstheme="minorEastAsia"/>
                <w:color w:val="000000"/>
                <w:spacing w:val="0"/>
                <w:w w:val="100"/>
                <w:position w:val="0"/>
                <w:sz w:val="21"/>
                <w:szCs w:val="21"/>
                <w:lang w:val="en-US" w:eastAsia="zh-CN"/>
              </w:rPr>
            </w:pPr>
            <w:r>
              <w:rPr>
                <w:rFonts w:hint="eastAsia" w:asciiTheme="minorEastAsia" w:hAnsiTheme="minorEastAsia" w:eastAsiaTheme="minorEastAsia" w:cstheme="minorEastAsia"/>
                <w:b/>
                <w:bCs/>
                <w:color w:val="000000"/>
                <w:spacing w:val="0"/>
                <w:w w:val="100"/>
                <w:position w:val="0"/>
                <w:sz w:val="24"/>
                <w:szCs w:val="24"/>
                <w:lang w:val="en-US" w:eastAsia="zh-CN"/>
              </w:rPr>
              <w:t>企业管理专业人力资源方向课程设置</w:t>
            </w:r>
          </w:p>
        </w:tc>
      </w:tr>
      <w:tr w14:paraId="0446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1" w:type="pct"/>
          </w:tcPr>
          <w:p w14:paraId="78BD9674">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基础必修课</w:t>
            </w:r>
          </w:p>
        </w:tc>
        <w:tc>
          <w:tcPr>
            <w:tcW w:w="4198" w:type="pct"/>
          </w:tcPr>
          <w:p w14:paraId="62B931C3">
            <w:pPr>
              <w:shd w:val="clear"/>
              <w:spacing w:line="360" w:lineRule="auto"/>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9"/>
                <w:sz w:val="21"/>
                <w:szCs w:val="21"/>
              </w:rPr>
              <w:t>管理学原理、企业战略管理、市场营销、财务管理</w:t>
            </w:r>
            <w:r>
              <w:rPr>
                <w:rFonts w:hint="eastAsia" w:ascii="宋体" w:hAnsi="宋体" w:eastAsia="宋体" w:cs="宋体"/>
                <w:spacing w:val="9"/>
                <w:sz w:val="21"/>
                <w:szCs w:val="21"/>
                <w:lang w:eastAsia="zh-CN"/>
              </w:rPr>
              <w:t>（</w:t>
            </w:r>
            <w:r>
              <w:rPr>
                <w:rFonts w:hint="eastAsia" w:ascii="宋体" w:hAnsi="宋体" w:eastAsia="宋体" w:cs="宋体"/>
                <w:spacing w:val="9"/>
                <w:sz w:val="21"/>
                <w:szCs w:val="21"/>
                <w:lang w:val="en-US" w:eastAsia="zh-CN"/>
              </w:rPr>
              <w:t>申硕国考科目</w:t>
            </w:r>
            <w:r>
              <w:rPr>
                <w:rFonts w:hint="eastAsia" w:ascii="宋体" w:hAnsi="宋体" w:eastAsia="宋体" w:cs="宋体"/>
                <w:spacing w:val="9"/>
                <w:sz w:val="21"/>
                <w:szCs w:val="21"/>
                <w:lang w:eastAsia="zh-CN"/>
              </w:rPr>
              <w:t>）</w:t>
            </w:r>
          </w:p>
        </w:tc>
      </w:tr>
      <w:tr w14:paraId="080E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Pr>
          <w:p w14:paraId="286D8427">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专业必修课</w:t>
            </w:r>
          </w:p>
        </w:tc>
        <w:tc>
          <w:tcPr>
            <w:tcW w:w="4198" w:type="pct"/>
          </w:tcPr>
          <w:p w14:paraId="2422E681">
            <w:pPr>
              <w:shd w:val="clear" w:color="auto" w:fill="auto"/>
              <w:spacing w:line="360" w:lineRule="auto"/>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9"/>
                <w:sz w:val="21"/>
                <w:szCs w:val="21"/>
              </w:rPr>
              <w:t>管理经济学、市场营销管理、战略管理、人力资源管理</w:t>
            </w:r>
            <w:r>
              <w:rPr>
                <w:rFonts w:hint="eastAsia" w:ascii="宋体" w:hAnsi="宋体" w:eastAsia="宋体" w:cs="宋体"/>
                <w:spacing w:val="9"/>
                <w:sz w:val="21"/>
                <w:szCs w:val="21"/>
                <w:lang w:eastAsia="zh-CN"/>
              </w:rPr>
              <w:t>（</w:t>
            </w:r>
            <w:r>
              <w:rPr>
                <w:rFonts w:hint="eastAsia" w:ascii="宋体" w:hAnsi="宋体" w:eastAsia="宋体" w:cs="宋体"/>
                <w:spacing w:val="9"/>
                <w:sz w:val="21"/>
                <w:szCs w:val="21"/>
                <w:lang w:val="en-US" w:eastAsia="zh-CN"/>
              </w:rPr>
              <w:t>申硕校考科目</w:t>
            </w:r>
            <w:r>
              <w:rPr>
                <w:rFonts w:hint="eastAsia" w:ascii="宋体" w:hAnsi="宋体" w:eastAsia="宋体" w:cs="宋体"/>
                <w:spacing w:val="9"/>
                <w:sz w:val="21"/>
                <w:szCs w:val="21"/>
                <w:lang w:eastAsia="zh-CN"/>
              </w:rPr>
              <w:t>）</w:t>
            </w:r>
          </w:p>
        </w:tc>
      </w:tr>
      <w:tr w14:paraId="2123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Pr>
          <w:p w14:paraId="7976EE3E">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4198" w:type="pct"/>
          </w:tcPr>
          <w:p w14:paraId="2B816B0C">
            <w:pPr>
              <w:spacing w:before="185" w:line="376" w:lineRule="auto"/>
              <w:ind w:left="9" w:right="45"/>
              <w:rPr>
                <w:rFonts w:hint="eastAsia" w:asciiTheme="minorEastAsia" w:hAnsiTheme="minorEastAsia" w:eastAsiaTheme="minorEastAsia" w:cstheme="minorEastAsia"/>
                <w:color w:val="000000"/>
                <w:spacing w:val="0"/>
                <w:w w:val="100"/>
                <w:position w:val="0"/>
                <w:sz w:val="21"/>
                <w:szCs w:val="21"/>
                <w:lang w:eastAsia="zh-CN"/>
              </w:rPr>
            </w:pPr>
            <w:r>
              <w:rPr>
                <w:rFonts w:ascii="宋体" w:hAnsi="宋体" w:eastAsia="宋体" w:cs="宋体"/>
                <w:spacing w:val="8"/>
                <w:sz w:val="21"/>
                <w:szCs w:val="21"/>
              </w:rPr>
              <w:t>管理研究方法 (论文指导课) 、资本金融学、金融监管、投资学、企业合</w:t>
            </w:r>
            <w:r>
              <w:rPr>
                <w:rFonts w:ascii="宋体" w:hAnsi="宋体" w:eastAsia="宋体" w:cs="宋体"/>
                <w:spacing w:val="13"/>
                <w:sz w:val="21"/>
                <w:szCs w:val="21"/>
              </w:rPr>
              <w:t>规</w:t>
            </w:r>
            <w:r>
              <w:rPr>
                <w:rFonts w:ascii="宋体" w:hAnsi="宋体" w:eastAsia="宋体" w:cs="宋体"/>
                <w:spacing w:val="8"/>
                <w:sz w:val="21"/>
                <w:szCs w:val="21"/>
              </w:rPr>
              <w:t>与法律风险管理、公司治理、组织行为学、商业模式设计与变革、公司</w:t>
            </w:r>
            <w:r>
              <w:rPr>
                <w:rFonts w:ascii="宋体" w:hAnsi="宋体" w:eastAsia="宋体" w:cs="宋体"/>
                <w:sz w:val="21"/>
                <w:szCs w:val="21"/>
              </w:rPr>
              <w:t xml:space="preserve"> </w:t>
            </w:r>
            <w:r>
              <w:rPr>
                <w:rFonts w:ascii="宋体" w:hAnsi="宋体" w:eastAsia="宋体" w:cs="宋体"/>
                <w:spacing w:val="13"/>
                <w:sz w:val="21"/>
                <w:szCs w:val="21"/>
              </w:rPr>
              <w:t>法</w:t>
            </w:r>
            <w:r>
              <w:rPr>
                <w:rFonts w:ascii="宋体" w:hAnsi="宋体" w:eastAsia="宋体" w:cs="宋体"/>
                <w:spacing w:val="8"/>
                <w:sz w:val="21"/>
                <w:szCs w:val="21"/>
              </w:rPr>
              <w:t>与企业法、合同法、战略人力资源管理、国际商务、电子商务与网络营</w:t>
            </w:r>
            <w:r>
              <w:rPr>
                <w:rFonts w:ascii="宋体" w:hAnsi="宋体" w:eastAsia="宋体" w:cs="宋体"/>
                <w:sz w:val="21"/>
                <w:szCs w:val="21"/>
              </w:rPr>
              <w:t xml:space="preserve"> </w:t>
            </w:r>
            <w:r>
              <w:rPr>
                <w:rFonts w:ascii="宋体" w:hAnsi="宋体" w:eastAsia="宋体" w:cs="宋体"/>
                <w:spacing w:val="17"/>
                <w:sz w:val="21"/>
                <w:szCs w:val="21"/>
              </w:rPr>
              <w:t>销</w:t>
            </w:r>
            <w:r>
              <w:rPr>
                <w:rFonts w:ascii="宋体" w:hAnsi="宋体" w:eastAsia="宋体" w:cs="宋体"/>
                <w:spacing w:val="9"/>
                <w:sz w:val="21"/>
                <w:szCs w:val="21"/>
              </w:rPr>
              <w:t>、应用统计分析、财务报表分析、经济法</w:t>
            </w:r>
          </w:p>
        </w:tc>
      </w:tr>
    </w:tbl>
    <w:p w14:paraId="48590B46">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6DBF1B11">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65A8B72F">
      <w:pPr>
        <w:spacing w:line="360" w:lineRule="auto"/>
        <w:jc w:val="both"/>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51D0F8C7">
      <w:pPr>
        <w:numPr>
          <w:ilvl w:val="0"/>
          <w:numId w:val="2"/>
        </w:numPr>
        <w:spacing w:line="360" w:lineRule="auto"/>
        <w:jc w:val="both"/>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734F5B45">
      <w:pPr>
        <w:numPr>
          <w:ilvl w:val="0"/>
          <w:numId w:val="2"/>
        </w:numPr>
        <w:spacing w:line="360" w:lineRule="auto"/>
        <w:jc w:val="both"/>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298723FC">
      <w:pPr>
        <w:numPr>
          <w:ilvl w:val="0"/>
          <w:numId w:val="0"/>
        </w:numPr>
        <w:spacing w:line="360" w:lineRule="auto"/>
        <w:ind w:leftChars="0" w:right="0" w:rightChars="0"/>
        <w:jc w:val="both"/>
        <w:rPr>
          <w:rFonts w:hint="eastAsia" w:asciiTheme="minorEastAsia" w:hAnsiTheme="minorEastAsia" w:eastAsiaTheme="minorEastAsia" w:cstheme="minorEastAsia"/>
          <w:i w:val="0"/>
          <w:iCs w:val="0"/>
          <w:caps w:val="0"/>
          <w:color w:val="auto"/>
          <w:spacing w:val="0"/>
          <w:sz w:val="21"/>
          <w:szCs w:val="21"/>
          <w:lang w:val="en-US" w:eastAsia="zh-CN"/>
        </w:rPr>
      </w:pPr>
    </w:p>
    <w:p w14:paraId="7D2594AC">
      <w:pPr>
        <w:shd w:val="clear" w:color="auto" w:fill="auto"/>
        <w:spacing w:line="360" w:lineRule="auto"/>
        <w:jc w:val="both"/>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58865281">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284D81AF">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、具有大专以上学历者，欲申请硕士学位者需具有本科学士学位。</w:t>
      </w:r>
    </w:p>
    <w:p w14:paraId="1669F9AD">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、报名材料：报名表、身份证、最高学历和学位证复印件各1份，1寸和2寸近期免冠蓝底照片各2 张。</w:t>
      </w:r>
    </w:p>
    <w:p w14:paraId="3A498ABC">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lang w:eastAsia="zh-CN"/>
        </w:rPr>
      </w:pPr>
    </w:p>
    <w:p w14:paraId="09EDB939">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6901F223">
      <w:pPr>
        <w:pStyle w:val="9"/>
        <w:keepNext w:val="0"/>
        <w:keepLines w:val="0"/>
        <w:widowControl w:val="0"/>
        <w:shd w:val="clear" w:color="auto" w:fill="auto"/>
        <w:tabs>
          <w:tab w:val="left" w:pos="505"/>
        </w:tabs>
        <w:bidi w:val="0"/>
        <w:spacing w:before="0" w:after="80" w:line="360" w:lineRule="auto"/>
        <w:ind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r>
        <w:rPr>
          <w:rFonts w:hint="eastAsia" w:asciiTheme="minorEastAsia" w:hAnsiTheme="minorEastAsia" w:eastAsiaTheme="minorEastAsia" w:cstheme="minorEastAsia"/>
          <w:sz w:val="21"/>
          <w:szCs w:val="21"/>
          <w:lang w:eastAsia="zh-CN"/>
        </w:rPr>
        <w:t>，出具中国政法大学教务部门盖章的写实性学习成绩证明</w:t>
      </w:r>
      <w:r>
        <w:rPr>
          <w:rFonts w:hint="eastAsia" w:asciiTheme="minorEastAsia" w:hAnsiTheme="minorEastAsia" w:eastAsiaTheme="minorEastAsia" w:cstheme="minorEastAsia"/>
          <w:sz w:val="21"/>
          <w:szCs w:val="21"/>
        </w:rPr>
        <w:t>）。</w:t>
      </w:r>
    </w:p>
    <w:p w14:paraId="3B015312">
      <w:pPr>
        <w:pStyle w:val="9"/>
        <w:keepNext w:val="0"/>
        <w:keepLines w:val="0"/>
        <w:widowControl w:val="0"/>
        <w:shd w:val="clear" w:color="auto" w:fill="auto"/>
        <w:tabs>
          <w:tab w:val="left" w:pos="505"/>
        </w:tabs>
        <w:bidi w:val="0"/>
        <w:spacing w:before="0" w:after="80" w:line="360" w:lineRule="auto"/>
        <w:ind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符合硕士学位申请条件的，可以按国务院学位办(1998)54 号文件和中国政法大学学位办的有关规定申请硕士学位。</w:t>
      </w:r>
    </w:p>
    <w:p w14:paraId="41491E3E">
      <w:pPr>
        <w:pStyle w:val="9"/>
        <w:keepNext w:val="0"/>
        <w:keepLines w:val="0"/>
        <w:widowControl w:val="0"/>
        <w:shd w:val="clear" w:color="auto" w:fill="auto"/>
        <w:tabs>
          <w:tab w:val="left" w:pos="505"/>
        </w:tabs>
        <w:bidi w:val="0"/>
        <w:spacing w:before="0" w:line="360" w:lineRule="auto"/>
        <w:ind w:left="0" w:right="0" w:firstLine="0"/>
        <w:jc w:val="both"/>
        <w:rPr>
          <w:rFonts w:hint="eastAsia" w:asciiTheme="minorEastAsia" w:hAnsiTheme="minorEastAsia" w:eastAsiaTheme="minorEastAsia" w:cstheme="minorEastAsia"/>
          <w:color w:val="000000"/>
          <w:spacing w:val="0"/>
          <w:w w:val="100"/>
          <w:position w:val="0"/>
          <w:sz w:val="21"/>
          <w:szCs w:val="21"/>
          <w:lang w:eastAsia="zh-CN"/>
        </w:rPr>
      </w:pPr>
    </w:p>
    <w:p w14:paraId="403C4EA5">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六、申硕条件</w:t>
      </w:r>
    </w:p>
    <w:p w14:paraId="59434A9A">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1、申请人必须是已获学士学位并工作三年及以上，或已获硕士、博士学位。</w:t>
      </w:r>
    </w:p>
    <w:p w14:paraId="6C1C250E">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2、在申请学位的专业或相近专业发表有关的不少于3000字的科研成果（或可在论文答辩审核之前提供）。</w:t>
      </w:r>
    </w:p>
    <w:p w14:paraId="75506FCF">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3、在规定时间内通过中国政法大学组织的同等学力人员申请硕士学位的学位课程考试。</w:t>
      </w:r>
    </w:p>
    <w:p w14:paraId="36E02032">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4、在规定时间内通过全国统一的同等学力人员申请硕士学位的外语考试和学科综合考试。</w:t>
      </w:r>
    </w:p>
    <w:p w14:paraId="6130E1FE">
      <w:pPr>
        <w:pStyle w:val="9"/>
        <w:keepNext w:val="0"/>
        <w:keepLines w:val="0"/>
        <w:widowControl w:val="0"/>
        <w:numPr>
          <w:ilvl w:val="0"/>
          <w:numId w:val="3"/>
        </w:numPr>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资格审查合格后，申请人必须在五年内（资审通过之日起算）通过上述学位课考试（校考）与全国统一考试（国考）。</w:t>
      </w:r>
    </w:p>
    <w:p w14:paraId="5BF50265">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sz w:val="21"/>
          <w:szCs w:val="21"/>
          <w:lang w:eastAsia="zh-CN"/>
        </w:rPr>
      </w:pPr>
    </w:p>
    <w:p w14:paraId="0BF16580">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七、收费标准</w:t>
      </w:r>
    </w:p>
    <w:p w14:paraId="71001F73">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1、研修班学费36800元/两年；</w:t>
      </w:r>
    </w:p>
    <w:p w14:paraId="52653136">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2、申请硕士学位的费用：14000元，包含资格审查费、学位课考试费、指导费、答辩费（具体数额以学员申请 硕士学位时中国政法大学的具体收费标准为准）；</w:t>
      </w:r>
    </w:p>
    <w:p w14:paraId="08C9A8DB">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3、同等学力人员申请硕士学位全国统一考试所发生的费用由学生自行负担。</w:t>
      </w:r>
    </w:p>
    <w:p w14:paraId="6DF389DC">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4、交费方式 ：学校平台统一支付。</w:t>
      </w:r>
    </w:p>
    <w:p w14:paraId="710FAC67">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研修班正式开课后，学员因故不能坚持进修，视为自动放弃学习，不予退费。</w:t>
      </w:r>
    </w:p>
    <w:p w14:paraId="01F62C14">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184F8">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69EE5"/>
    <w:multiLevelType w:val="singleLevel"/>
    <w:tmpl w:val="A4269EE5"/>
    <w:lvl w:ilvl="0" w:tentative="0">
      <w:start w:val="5"/>
      <w:numFmt w:val="decimal"/>
      <w:suff w:val="nothing"/>
      <w:lvlText w:val="%1、"/>
      <w:lvlJc w:val="left"/>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1369184F"/>
    <w:rsid w:val="16793769"/>
    <w:rsid w:val="1B693ACB"/>
    <w:rsid w:val="1DEA52D0"/>
    <w:rsid w:val="27F531EF"/>
    <w:rsid w:val="29657728"/>
    <w:rsid w:val="2A9D1E72"/>
    <w:rsid w:val="2EF5561C"/>
    <w:rsid w:val="336B4A5C"/>
    <w:rsid w:val="33F0253C"/>
    <w:rsid w:val="3BDE455E"/>
    <w:rsid w:val="3E771004"/>
    <w:rsid w:val="48F05114"/>
    <w:rsid w:val="48FD0D9E"/>
    <w:rsid w:val="4D1F0243"/>
    <w:rsid w:val="4DB34E2F"/>
    <w:rsid w:val="52A9516B"/>
    <w:rsid w:val="66410DD2"/>
    <w:rsid w:val="78AD2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1745</Words>
  <Characters>1781</Characters>
  <Lines>0</Lines>
  <Paragraphs>0</Paragraphs>
  <TotalTime>1</TotalTime>
  <ScaleCrop>false</ScaleCrop>
  <LinksUpToDate>false</LinksUpToDate>
  <CharactersWithSpaces>1786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2026-01-14T03:55:18Z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618B9BDE1BE341BAB5D8203BD4EAFF31</vt:lpwstr>
  </property>
  <property fmtid="{D5CDD505-2E9C-101B-9397-08002B2CF9AE}" pid="4" name="KSOTemplateDocerSaveRecord">
    <vt:lpwstr>eyJoZGlkIjoiMjJkYmYyOGQwNjU2YTFjYjBlYWQzZDdlZjc2Nzk1ZWYifQ==</vt:lpwstr>
  </property>
</Properties>
</file>