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57789">
      <w:pPr>
        <w:jc w:val="center"/>
      </w:pPr>
      <w:r>
        <w:drawing>
          <wp:inline distT="0" distB="0" distL="114300" distR="114300">
            <wp:extent cx="4311015" cy="140335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11015" cy="1403350"/>
                    </a:xfrm>
                    <a:prstGeom prst="rect">
                      <a:avLst/>
                    </a:prstGeom>
                    <a:noFill/>
                    <a:ln>
                      <a:noFill/>
                    </a:ln>
                  </pic:spPr>
                </pic:pic>
              </a:graphicData>
            </a:graphic>
          </wp:inline>
        </w:drawing>
      </w:r>
    </w:p>
    <w:p w14:paraId="28775F57">
      <w:pPr>
        <w:jc w:val="center"/>
      </w:pPr>
    </w:p>
    <w:p w14:paraId="4396C9EF">
      <w:pPr>
        <w:jc w:val="center"/>
        <w:rPr>
          <w:rFonts w:ascii="仿宋" w:hAnsi="仿宋" w:cs="仿宋"/>
          <w:b/>
          <w:bCs/>
          <w:color w:val="000000"/>
          <w:spacing w:val="1"/>
          <w:sz w:val="32"/>
          <w:szCs w:val="32"/>
        </w:rPr>
      </w:pPr>
      <w:r>
        <w:rPr>
          <w:rFonts w:hint="eastAsia" w:ascii="仿宋" w:hAnsi="仿宋" w:cs="仿宋"/>
          <w:b/>
          <w:bCs/>
          <w:color w:val="000000"/>
          <w:spacing w:val="1"/>
          <w:sz w:val="32"/>
          <w:szCs w:val="32"/>
          <w:lang w:val="en-US" w:eastAsia="zh-CN"/>
        </w:rPr>
        <w:t>中国</w:t>
      </w:r>
      <w:r>
        <w:rPr>
          <w:rFonts w:ascii="仿宋" w:hAnsi="仿宋" w:cs="仿宋"/>
          <w:b/>
          <w:bCs/>
          <w:color w:val="000000"/>
          <w:spacing w:val="1"/>
          <w:sz w:val="32"/>
          <w:szCs w:val="32"/>
        </w:rPr>
        <w:t>政法大学儿童青少年发展与家庭养育心理学</w:t>
      </w:r>
      <w:r>
        <w:rPr>
          <w:rFonts w:hint="eastAsia" w:ascii="仿宋" w:hAnsi="仿宋" w:cs="仿宋"/>
          <w:b/>
          <w:bCs/>
          <w:color w:val="000000"/>
          <w:spacing w:val="1"/>
          <w:sz w:val="32"/>
          <w:szCs w:val="32"/>
          <w:lang w:val="en-US" w:eastAsia="zh-CN"/>
        </w:rPr>
        <w:t>同等学力申硕</w:t>
      </w:r>
      <w:r>
        <w:rPr>
          <w:rFonts w:ascii="仿宋" w:hAnsi="仿宋" w:cs="仿宋"/>
          <w:b/>
          <w:bCs/>
          <w:color w:val="000000"/>
          <w:spacing w:val="1"/>
          <w:sz w:val="32"/>
          <w:szCs w:val="32"/>
        </w:rPr>
        <w:t>招生简章</w:t>
      </w:r>
    </w:p>
    <w:p w14:paraId="4FDB2C01">
      <w:pPr>
        <w:jc w:val="both"/>
        <w:rPr>
          <w:rFonts w:ascii="仿宋" w:hAnsi="仿宋" w:cs="仿宋"/>
          <w:b/>
          <w:bCs/>
          <w:color w:val="000000"/>
          <w:spacing w:val="1"/>
          <w:sz w:val="36"/>
          <w:szCs w:val="36"/>
        </w:rPr>
      </w:pPr>
    </w:p>
    <w:p w14:paraId="3B5F4DB7">
      <w:pPr>
        <w:numPr>
          <w:ilvl w:val="0"/>
          <w:numId w:val="1"/>
        </w:numPr>
        <w:jc w:val="both"/>
        <w:rPr>
          <w:rFonts w:hint="default" w:asciiTheme="minorEastAsia" w:hAnsiTheme="minorEastAsia" w:eastAsiaTheme="minorEastAsia" w:cstheme="minorEastAsia"/>
          <w:b w:val="0"/>
          <w:bCs w:val="0"/>
          <w:sz w:val="21"/>
          <w:szCs w:val="21"/>
          <w:lang w:val="en-US" w:eastAsia="zh-CN"/>
        </w:rPr>
      </w:pPr>
      <w:r>
        <w:rPr>
          <w:rFonts w:hint="eastAsia" w:ascii="仿宋" w:hAnsi="仿宋" w:cs="仿宋"/>
          <w:b/>
          <w:bCs/>
          <w:color w:val="000000"/>
          <w:spacing w:val="1"/>
          <w:sz w:val="21"/>
          <w:szCs w:val="21"/>
          <w:lang w:val="en-US" w:eastAsia="zh-CN"/>
        </w:rPr>
        <w:t>院校简介：</w:t>
      </w:r>
    </w:p>
    <w:p w14:paraId="78A2BE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学校被誉为“中国法学教育的最高学府”，在70余年的办学历程中，学校为国家培养了各类优秀人才30多万人。学校是国家法学教育和法治人才培养的主力军，参与了自建校以来几乎国家的所有立法活动，引领国家法学教育的创新、法学理论的革新和法治思想的更新，代表国家对外进行法学学术和法治文化交流。同时，学校多学科和跨学科的人才培养模式也为社会输送了一大批人文社会科学高级专门人才，成为国家政治、经济、社会、文化等领域人才培养的生力军。</w:t>
      </w:r>
    </w:p>
    <w:p w14:paraId="34B210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中国政法大学心理学专业在经过40年的建设后，现已形成以法律心理学、犯罪心理学等优势学科为龙 头的专业导向建设，并建立起了从本科到博士(联合培养)的完整人才培养体系。心理学系以特色学科为 依托，以优良师资为支撑，得到了快速的发展，呈现出“小而强，特而优”的发展格局。心理学相关专业同等学力研修班工作由中国政法大学培训学院具体负责，集中学校优势办学资源，全 面开展同等学力办学工作。培训实行统一招生、统一教学、统一管理，培训按学科专业进行系统化培养。</w:t>
      </w:r>
    </w:p>
    <w:p w14:paraId="1C5BE7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r>
        <w:rPr>
          <w:rFonts w:hint="eastAsia" w:ascii="宋体" w:hAnsi="宋体" w:eastAsia="宋体" w:cs="宋体"/>
          <w:kern w:val="2"/>
          <w:sz w:val="21"/>
          <w:szCs w:val="21"/>
          <w:lang w:val="en-US" w:eastAsia="zh-CN" w:bidi="ar-SA"/>
        </w:rPr>
        <w:t>中国</w:t>
      </w:r>
      <w:r>
        <w:rPr>
          <w:rFonts w:hint="eastAsia" w:cs="宋体"/>
          <w:kern w:val="2"/>
          <w:sz w:val="21"/>
          <w:szCs w:val="21"/>
          <w:lang w:val="en-US" w:eastAsia="zh-CN" w:bidi="ar-SA"/>
        </w:rPr>
        <w:t>政法</w:t>
      </w:r>
      <w:r>
        <w:rPr>
          <w:rFonts w:hint="eastAsia" w:ascii="宋体" w:hAnsi="宋体" w:eastAsia="宋体" w:cs="宋体"/>
          <w:kern w:val="2"/>
          <w:sz w:val="21"/>
          <w:szCs w:val="21"/>
          <w:lang w:val="en-US" w:eastAsia="zh-CN" w:bidi="ar-SA"/>
        </w:rPr>
        <w:t>大学在全国地区面向社会开设儿童青少年发展与家庭养育心理学在职课程培训班</w:t>
      </w:r>
      <w:r>
        <w:rPr>
          <w:rFonts w:hint="eastAsia" w:cs="宋体"/>
          <w:kern w:val="2"/>
          <w:sz w:val="21"/>
          <w:szCs w:val="21"/>
          <w:lang w:val="en-US" w:eastAsia="zh-CN" w:bidi="ar-SA"/>
        </w:rPr>
        <w:t>，为我国社会提供更多心理学专业的高端人才。</w:t>
      </w:r>
    </w:p>
    <w:p w14:paraId="7B8818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p>
    <w:p w14:paraId="0382F86B">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培养目标：</w:t>
      </w:r>
    </w:p>
    <w:p w14:paraId="1EB22020">
      <w:pPr>
        <w:widowControl w:val="0"/>
        <w:numPr>
          <w:ilvl w:val="0"/>
          <w:numId w:val="0"/>
        </w:numPr>
        <w:jc w:val="both"/>
        <w:rPr>
          <w:rFonts w:hint="eastAsia" w:ascii="仿宋" w:hAnsi="仿宋" w:cs="仿宋"/>
          <w:b/>
          <w:bCs/>
          <w:color w:val="000000"/>
          <w:spacing w:val="1"/>
          <w:sz w:val="21"/>
          <w:szCs w:val="21"/>
          <w:lang w:val="en-US" w:eastAsia="zh-CN"/>
        </w:rPr>
      </w:pPr>
    </w:p>
    <w:p w14:paraId="4853EB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本专业主要掌握扎实的心理学基础理论和系统的专业知识，用科学的心理学知识，学习儿童青少年发展与家庭养育心理学相关专业知识，‌具有对人类心理与行为的深刻洞察力，‌能够将儿童心理学理论、‌方法和技术应用于经济、‌社会、‌健康、‌管理等领域以解决实际问题，‌具备国际视野、‌创新精神和高度的社会责任感，培养具备扎实心理学基础理论和系统专业知识的高级应用心理专业人才。</w:t>
      </w:r>
    </w:p>
    <w:p w14:paraId="3462C4B0">
      <w:pPr>
        <w:widowControl w:val="0"/>
        <w:numPr>
          <w:ilvl w:val="0"/>
          <w:numId w:val="0"/>
        </w:numPr>
        <w:jc w:val="both"/>
        <w:rPr>
          <w:rFonts w:hint="default" w:ascii="仿宋" w:hAnsi="仿宋" w:cs="仿宋"/>
          <w:b/>
          <w:bCs/>
          <w:color w:val="000000"/>
          <w:spacing w:val="1"/>
          <w:sz w:val="21"/>
          <w:szCs w:val="21"/>
          <w:lang w:val="en-US" w:eastAsia="zh-CN"/>
        </w:rPr>
      </w:pPr>
    </w:p>
    <w:p w14:paraId="002B194C">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课程设置：</w:t>
      </w:r>
    </w:p>
    <w:p w14:paraId="1C7ABB97">
      <w:pPr>
        <w:widowControl w:val="0"/>
        <w:numPr>
          <w:ilvl w:val="0"/>
          <w:numId w:val="0"/>
        </w:numPr>
        <w:jc w:val="both"/>
        <w:rPr>
          <w:rFonts w:hint="eastAsia" w:ascii="仿宋" w:hAnsi="仿宋" w:cs="仿宋"/>
          <w:b/>
          <w:bCs/>
          <w:color w:val="000000"/>
          <w:spacing w:val="1"/>
          <w:sz w:val="21"/>
          <w:szCs w:val="21"/>
          <w:lang w:val="en-US" w:eastAsia="zh-CN"/>
        </w:rPr>
      </w:pPr>
    </w:p>
    <w:tbl>
      <w:tblPr>
        <w:tblStyle w:val="7"/>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4215"/>
        <w:gridCol w:w="2768"/>
      </w:tblGrid>
      <w:tr w14:paraId="775F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604" w:type="dxa"/>
            <w:gridSpan w:val="3"/>
            <w:noWrap w:val="0"/>
            <w:vAlign w:val="top"/>
          </w:tcPr>
          <w:p w14:paraId="130C8A19">
            <w:pPr>
              <w:pStyle w:val="2"/>
              <w:widowControl/>
              <w:tabs>
                <w:tab w:val="left" w:pos="3366"/>
              </w:tabs>
              <w:spacing w:before="225" w:beforeAutospacing="0" w:after="75" w:afterAutospacing="0"/>
              <w:jc w:val="center"/>
              <w:rPr>
                <w:rFonts w:hint="default" w:cs="微软雅黑"/>
                <w:b w:val="0"/>
                <w:color w:val="000000"/>
                <w:sz w:val="21"/>
                <w:szCs w:val="21"/>
                <w:lang w:val="en-US" w:eastAsia="zh-CN" w:bidi="ar"/>
              </w:rPr>
            </w:pPr>
            <w:r>
              <w:rPr>
                <w:rFonts w:hint="eastAsia" w:cs="微软雅黑"/>
                <w:b/>
                <w:bCs/>
                <w:color w:val="000000"/>
                <w:sz w:val="21"/>
                <w:szCs w:val="21"/>
                <w:lang w:val="en-US" w:eastAsia="zh-CN" w:bidi="ar"/>
              </w:rPr>
              <w:t>儿童青少年发展与家庭养育心理学专业课程</w:t>
            </w:r>
          </w:p>
        </w:tc>
      </w:tr>
      <w:tr w14:paraId="6A4A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21" w:type="dxa"/>
            <w:vMerge w:val="restart"/>
            <w:noWrap w:val="0"/>
            <w:vAlign w:val="center"/>
          </w:tcPr>
          <w:p w14:paraId="0C9A02D1">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学位课</w:t>
            </w:r>
          </w:p>
        </w:tc>
        <w:tc>
          <w:tcPr>
            <w:tcW w:w="4215" w:type="dxa"/>
            <w:noWrap w:val="0"/>
            <w:vAlign w:val="top"/>
          </w:tcPr>
          <w:p w14:paraId="0FF8C88F">
            <w:pPr>
              <w:pStyle w:val="2"/>
              <w:widowControl/>
              <w:spacing w:before="225" w:beforeAutospacing="0" w:after="75" w:afterAutospacing="0"/>
              <w:jc w:val="center"/>
              <w:rPr>
                <w:rFonts w:ascii="宋体" w:hAnsi="宋体" w:eastAsia="宋体" w:cs="宋体"/>
                <w:b w:val="0"/>
                <w:kern w:val="0"/>
                <w:sz w:val="21"/>
                <w:szCs w:val="21"/>
                <w:lang w:val="en-US" w:eastAsia="zh-CN" w:bidi="ar-SA"/>
              </w:rPr>
            </w:pPr>
            <w:r>
              <w:rPr>
                <w:rFonts w:ascii="宋体" w:hAnsi="宋体" w:eastAsia="宋体" w:cs="宋体"/>
                <w:b w:val="0"/>
                <w:kern w:val="0"/>
                <w:sz w:val="21"/>
                <w:szCs w:val="21"/>
                <w:lang w:val="en-US" w:eastAsia="zh-CN" w:bidi="ar-SA"/>
              </w:rPr>
              <w:t>习近平新时代中国特色社会主义思想概论</w:t>
            </w:r>
          </w:p>
        </w:tc>
        <w:tc>
          <w:tcPr>
            <w:tcW w:w="2768" w:type="dxa"/>
            <w:noWrap w:val="0"/>
            <w:vAlign w:val="top"/>
          </w:tcPr>
          <w:p w14:paraId="0C7E2877">
            <w:pPr>
              <w:pStyle w:val="2"/>
              <w:widowControl/>
              <w:spacing w:before="225" w:beforeAutospacing="0" w:after="75" w:afterAutospacing="0"/>
              <w:jc w:val="center"/>
              <w:rPr>
                <w:rFonts w:cs="微软雅黑"/>
                <w:b w:val="0"/>
                <w:color w:val="000000"/>
                <w:sz w:val="21"/>
                <w:szCs w:val="21"/>
                <w:lang w:val="en-US" w:eastAsia="zh-CN" w:bidi="ar"/>
              </w:rPr>
            </w:pPr>
            <w:r>
              <w:rPr>
                <w:rFonts w:cs="微软雅黑"/>
                <w:b w:val="0"/>
                <w:color w:val="000000"/>
                <w:sz w:val="21"/>
                <w:szCs w:val="21"/>
                <w:lang w:val="en-US" w:eastAsia="zh-CN" w:bidi="ar"/>
              </w:rPr>
              <w:t>外国语</w:t>
            </w:r>
          </w:p>
        </w:tc>
      </w:tr>
      <w:tr w14:paraId="0F7A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621" w:type="dxa"/>
            <w:vMerge w:val="continue"/>
            <w:noWrap w:val="0"/>
            <w:vAlign w:val="top"/>
          </w:tcPr>
          <w:p w14:paraId="7D8A16D8">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E669A21">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心理学理论与流派</w:t>
            </w:r>
          </w:p>
        </w:tc>
        <w:tc>
          <w:tcPr>
            <w:tcW w:w="2768" w:type="dxa"/>
            <w:noWrap w:val="0"/>
            <w:vAlign w:val="top"/>
          </w:tcPr>
          <w:p w14:paraId="6C1C430D">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心理学研究方法</w:t>
            </w:r>
          </w:p>
        </w:tc>
      </w:tr>
      <w:tr w14:paraId="5CFE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621" w:type="dxa"/>
            <w:vMerge w:val="continue"/>
            <w:noWrap w:val="0"/>
            <w:vAlign w:val="center"/>
          </w:tcPr>
          <w:p w14:paraId="5F376E9E">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2185EFE8">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心理测量与统计</w:t>
            </w:r>
          </w:p>
        </w:tc>
        <w:tc>
          <w:tcPr>
            <w:tcW w:w="2768" w:type="dxa"/>
            <w:noWrap w:val="0"/>
            <w:vAlign w:val="top"/>
          </w:tcPr>
          <w:p w14:paraId="427A88C3">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人格与社会心理学</w:t>
            </w:r>
          </w:p>
        </w:tc>
      </w:tr>
      <w:tr w14:paraId="7090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621" w:type="dxa"/>
            <w:vMerge w:val="restart"/>
            <w:noWrap w:val="0"/>
            <w:vAlign w:val="center"/>
          </w:tcPr>
          <w:p w14:paraId="2F19EA5A">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专业课</w:t>
            </w:r>
          </w:p>
        </w:tc>
        <w:tc>
          <w:tcPr>
            <w:tcW w:w="4215" w:type="dxa"/>
            <w:noWrap w:val="0"/>
            <w:vAlign w:val="top"/>
          </w:tcPr>
          <w:p w14:paraId="5FDC51FB">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绘本阅读与高质量陪伴</w:t>
            </w:r>
          </w:p>
        </w:tc>
        <w:tc>
          <w:tcPr>
            <w:tcW w:w="2768" w:type="dxa"/>
            <w:noWrap w:val="0"/>
            <w:vAlign w:val="top"/>
          </w:tcPr>
          <w:p w14:paraId="2131E2E1">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父母共情式沟通训练</w:t>
            </w:r>
          </w:p>
        </w:tc>
      </w:tr>
      <w:tr w14:paraId="10AB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621" w:type="dxa"/>
            <w:vMerge w:val="continue"/>
            <w:noWrap w:val="0"/>
            <w:vAlign w:val="top"/>
          </w:tcPr>
          <w:p w14:paraId="6158B44F">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66FA67A7">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儿童注意力培养与训练</w:t>
            </w:r>
          </w:p>
        </w:tc>
        <w:tc>
          <w:tcPr>
            <w:tcW w:w="2768" w:type="dxa"/>
            <w:noWrap w:val="0"/>
            <w:vAlign w:val="top"/>
          </w:tcPr>
          <w:p w14:paraId="7C580AAA">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正面管教技术</w:t>
            </w:r>
          </w:p>
        </w:tc>
      </w:tr>
      <w:tr w14:paraId="7F4C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621" w:type="dxa"/>
            <w:vMerge w:val="continue"/>
            <w:noWrap w:val="0"/>
            <w:vAlign w:val="top"/>
          </w:tcPr>
          <w:p w14:paraId="30426E8D">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3A28EE2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咨询心理学</w:t>
            </w:r>
          </w:p>
        </w:tc>
        <w:tc>
          <w:tcPr>
            <w:tcW w:w="2768" w:type="dxa"/>
            <w:noWrap w:val="0"/>
            <w:vAlign w:val="top"/>
          </w:tcPr>
          <w:p w14:paraId="512F88F8">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ascii="宋体" w:hAnsi="宋体" w:eastAsia="宋体" w:cs="宋体"/>
                <w:b w:val="0"/>
                <w:kern w:val="0"/>
                <w:sz w:val="21"/>
                <w:szCs w:val="21"/>
                <w:lang w:val="en-US" w:eastAsia="zh-CN" w:bidi="ar-SA"/>
              </w:rPr>
              <w:t>网瘾问题分析与对策</w:t>
            </w:r>
          </w:p>
        </w:tc>
      </w:tr>
      <w:tr w14:paraId="15E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21" w:type="dxa"/>
            <w:vMerge w:val="continue"/>
            <w:noWrap w:val="0"/>
            <w:vAlign w:val="top"/>
          </w:tcPr>
          <w:p w14:paraId="584549FB">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04F6C7F">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发展心理学</w:t>
            </w:r>
          </w:p>
        </w:tc>
        <w:tc>
          <w:tcPr>
            <w:tcW w:w="2768" w:type="dxa"/>
            <w:noWrap w:val="0"/>
            <w:vAlign w:val="top"/>
          </w:tcPr>
          <w:p w14:paraId="030264A8">
            <w:pPr>
              <w:pStyle w:val="2"/>
              <w:widowControl/>
              <w:spacing w:before="225" w:beforeAutospacing="0" w:after="75" w:afterAutospacing="0"/>
              <w:jc w:val="center"/>
              <w:rPr>
                <w:rFonts w:hint="default" w:cs="微软雅黑"/>
                <w:b w:val="0"/>
                <w:bCs/>
                <w:color w:val="000000"/>
                <w:sz w:val="21"/>
                <w:szCs w:val="21"/>
                <w:lang w:val="en-US" w:eastAsia="zh-CN" w:bidi="ar"/>
              </w:rPr>
            </w:pPr>
            <w:r>
              <w:rPr>
                <w:rFonts w:hint="eastAsia"/>
                <w:b w:val="0"/>
                <w:bCs/>
                <w:sz w:val="21"/>
                <w:szCs w:val="21"/>
              </w:rPr>
              <w:t>法律心理学</w:t>
            </w:r>
          </w:p>
        </w:tc>
      </w:tr>
      <w:tr w14:paraId="75F6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center"/>
          </w:tcPr>
          <w:p w14:paraId="60BA740B">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6A90E626">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心理学史</w:t>
            </w:r>
          </w:p>
        </w:tc>
        <w:tc>
          <w:tcPr>
            <w:tcW w:w="2768" w:type="dxa"/>
            <w:noWrap w:val="0"/>
            <w:vAlign w:val="top"/>
          </w:tcPr>
          <w:p w14:paraId="45EC638C">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生理心理学</w:t>
            </w:r>
          </w:p>
        </w:tc>
      </w:tr>
      <w:tr w14:paraId="562E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2114E32A">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6E7647A">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变态心理学</w:t>
            </w:r>
          </w:p>
        </w:tc>
        <w:tc>
          <w:tcPr>
            <w:tcW w:w="2768" w:type="dxa"/>
            <w:noWrap w:val="0"/>
            <w:vAlign w:val="top"/>
          </w:tcPr>
          <w:p w14:paraId="234998B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管理心理学</w:t>
            </w:r>
          </w:p>
        </w:tc>
      </w:tr>
      <w:tr w14:paraId="7100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08BD8872">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1E8389C0">
            <w:pPr>
              <w:pStyle w:val="2"/>
              <w:widowControl/>
              <w:spacing w:before="225" w:beforeAutospacing="0" w:after="75" w:afterAutospacing="0"/>
              <w:jc w:val="center"/>
              <w:rPr>
                <w:rFonts w:hint="eastAsia"/>
                <w:b w:val="0"/>
                <w:bCs/>
                <w:sz w:val="21"/>
                <w:szCs w:val="21"/>
              </w:rPr>
            </w:pPr>
            <w:r>
              <w:rPr>
                <w:rFonts w:hint="eastAsia"/>
                <w:b w:val="0"/>
                <w:bCs/>
                <w:sz w:val="21"/>
                <w:szCs w:val="21"/>
              </w:rPr>
              <w:t>认知心理学</w:t>
            </w:r>
          </w:p>
        </w:tc>
        <w:tc>
          <w:tcPr>
            <w:tcW w:w="2768" w:type="dxa"/>
            <w:noWrap w:val="0"/>
            <w:vAlign w:val="top"/>
          </w:tcPr>
          <w:p w14:paraId="7725BF94">
            <w:pPr>
              <w:pStyle w:val="2"/>
              <w:widowControl/>
              <w:spacing w:before="225" w:beforeAutospacing="0" w:after="75" w:afterAutospacing="0"/>
              <w:jc w:val="center"/>
              <w:rPr>
                <w:rFonts w:hint="eastAsia"/>
                <w:b w:val="0"/>
                <w:bCs/>
                <w:sz w:val="21"/>
                <w:szCs w:val="21"/>
              </w:rPr>
            </w:pPr>
            <w:r>
              <w:rPr>
                <w:rFonts w:hint="eastAsia"/>
                <w:b w:val="0"/>
                <w:bCs/>
                <w:sz w:val="21"/>
                <w:szCs w:val="21"/>
              </w:rPr>
              <w:t>心理健康</w:t>
            </w:r>
          </w:p>
        </w:tc>
      </w:tr>
      <w:tr w14:paraId="6D49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restart"/>
            <w:noWrap w:val="0"/>
            <w:vAlign w:val="center"/>
          </w:tcPr>
          <w:p w14:paraId="487A9E99">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选修课</w:t>
            </w:r>
          </w:p>
        </w:tc>
        <w:tc>
          <w:tcPr>
            <w:tcW w:w="4215" w:type="dxa"/>
            <w:noWrap w:val="0"/>
            <w:vAlign w:val="top"/>
          </w:tcPr>
          <w:p w14:paraId="46931190">
            <w:pPr>
              <w:pStyle w:val="6"/>
              <w:spacing w:line="500" w:lineRule="exact"/>
              <w:contextualSpacing/>
              <w:jc w:val="center"/>
              <w:rPr>
                <w:rFonts w:hint="eastAsia"/>
                <w:b w:val="0"/>
                <w:bCs/>
                <w:sz w:val="21"/>
                <w:szCs w:val="21"/>
              </w:rPr>
            </w:pPr>
            <w:r>
              <w:rPr>
                <w:rFonts w:hint="eastAsia" w:ascii="宋体" w:hAnsi="宋体" w:eastAsia="宋体" w:cs="宋体"/>
                <w:b w:val="0"/>
                <w:kern w:val="0"/>
                <w:sz w:val="21"/>
                <w:szCs w:val="21"/>
                <w:lang w:val="en-US" w:eastAsia="zh-CN" w:bidi="ar-SA"/>
              </w:rPr>
              <w:t>儿童青少年咨询实务</w:t>
            </w:r>
          </w:p>
        </w:tc>
        <w:tc>
          <w:tcPr>
            <w:tcW w:w="2768" w:type="dxa"/>
            <w:noWrap w:val="0"/>
            <w:vAlign w:val="top"/>
          </w:tcPr>
          <w:p w14:paraId="05EB391D">
            <w:pPr>
              <w:pStyle w:val="2"/>
              <w:widowControl/>
              <w:spacing w:before="225" w:beforeAutospacing="0" w:after="75" w:afterAutospacing="0"/>
              <w:jc w:val="center"/>
              <w:rPr>
                <w:rFonts w:hint="default" w:eastAsiaTheme="minorEastAsia"/>
                <w:b w:val="0"/>
                <w:bCs/>
                <w:sz w:val="21"/>
                <w:szCs w:val="21"/>
                <w:lang w:val="en-US" w:eastAsia="zh-CN"/>
              </w:rPr>
            </w:pPr>
            <w:r>
              <w:rPr>
                <w:rFonts w:hint="eastAsia" w:ascii="宋体" w:hAnsi="宋体" w:eastAsia="宋体" w:cs="宋体"/>
                <w:b w:val="0"/>
                <w:kern w:val="0"/>
                <w:sz w:val="21"/>
                <w:szCs w:val="21"/>
                <w:lang w:val="en-US" w:eastAsia="zh-CN" w:bidi="ar-SA"/>
              </w:rPr>
              <w:t>儿童青少年性教育</w:t>
            </w:r>
          </w:p>
        </w:tc>
      </w:tr>
      <w:tr w14:paraId="7934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5D1A56F2">
            <w:pPr>
              <w:pStyle w:val="2"/>
              <w:widowControl/>
              <w:spacing w:before="225" w:beforeAutospacing="0" w:after="75" w:afterAutospacing="0"/>
              <w:jc w:val="center"/>
              <w:rPr>
                <w:rFonts w:hint="eastAsia" w:ascii="宋体" w:hAnsi="宋体" w:eastAsia="宋体" w:cs="宋体"/>
                <w:b w:val="0"/>
                <w:kern w:val="0"/>
                <w:sz w:val="21"/>
                <w:szCs w:val="21"/>
                <w:lang w:val="en-US" w:eastAsia="zh-CN" w:bidi="ar-SA"/>
              </w:rPr>
            </w:pPr>
          </w:p>
        </w:tc>
        <w:tc>
          <w:tcPr>
            <w:tcW w:w="4215" w:type="dxa"/>
            <w:noWrap w:val="0"/>
            <w:vAlign w:val="center"/>
          </w:tcPr>
          <w:p w14:paraId="5E49990F">
            <w:pPr>
              <w:spacing w:before="40" w:line="190" w:lineRule="auto"/>
              <w:ind w:left="428"/>
              <w:jc w:val="center"/>
              <w:rPr>
                <w:rFonts w:hint="eastAsia" w:ascii="宋体" w:hAnsi="宋体" w:eastAsia="宋体" w:cs="宋体"/>
                <w:b w:val="0"/>
                <w:kern w:val="0"/>
                <w:sz w:val="21"/>
                <w:szCs w:val="21"/>
                <w:lang w:val="en-US" w:eastAsia="zh-CN" w:bidi="ar-SA"/>
              </w:rPr>
            </w:pPr>
            <w:r>
              <w:rPr>
                <w:rFonts w:hint="eastAsia" w:cs="宋体"/>
                <w:b w:val="0"/>
                <w:kern w:val="0"/>
                <w:sz w:val="21"/>
                <w:szCs w:val="21"/>
                <w:lang w:val="en-US" w:eastAsia="zh-CN" w:bidi="ar-SA"/>
              </w:rPr>
              <w:t>校园欺凌防治与心理干预</w:t>
            </w:r>
          </w:p>
        </w:tc>
        <w:tc>
          <w:tcPr>
            <w:tcW w:w="2768" w:type="dxa"/>
            <w:noWrap w:val="0"/>
            <w:vAlign w:val="center"/>
          </w:tcPr>
          <w:p w14:paraId="1065C9D5">
            <w:pPr>
              <w:spacing w:before="89" w:line="189" w:lineRule="auto"/>
              <w:ind w:left="497" w:firstLine="210" w:firstLineChars="100"/>
              <w:jc w:val="both"/>
              <w:rPr>
                <w:rFonts w:hint="eastAsia" w:ascii="宋体" w:hAnsi="宋体" w:eastAsiaTheme="minorEastAsia" w:cstheme="minorBidi"/>
                <w:b w:val="0"/>
                <w:bCs/>
                <w:kern w:val="0"/>
                <w:sz w:val="21"/>
                <w:szCs w:val="21"/>
                <w:lang w:val="en-US" w:eastAsia="zh-CN" w:bidi="ar-SA"/>
              </w:rPr>
            </w:pPr>
            <w:r>
              <w:rPr>
                <w:rFonts w:hint="eastAsia" w:cs="宋体"/>
                <w:b w:val="0"/>
                <w:kern w:val="0"/>
                <w:sz w:val="21"/>
                <w:szCs w:val="21"/>
                <w:lang w:val="en-US" w:eastAsia="zh-CN" w:bidi="ar-SA"/>
              </w:rPr>
              <w:t>6S学习策略指导</w:t>
            </w:r>
          </w:p>
        </w:tc>
      </w:tr>
      <w:tr w14:paraId="6916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2C084710">
            <w:pPr>
              <w:pStyle w:val="2"/>
              <w:widowControl/>
              <w:spacing w:before="225" w:beforeAutospacing="0" w:after="75" w:afterAutospacing="0"/>
              <w:jc w:val="center"/>
              <w:rPr>
                <w:rFonts w:hint="eastAsia" w:ascii="宋体" w:hAnsi="宋体" w:eastAsia="宋体" w:cs="宋体"/>
                <w:b w:val="0"/>
                <w:kern w:val="0"/>
                <w:sz w:val="21"/>
                <w:szCs w:val="21"/>
                <w:lang w:val="en-US" w:eastAsia="zh-CN" w:bidi="ar-SA"/>
              </w:rPr>
            </w:pPr>
          </w:p>
        </w:tc>
        <w:tc>
          <w:tcPr>
            <w:tcW w:w="4215" w:type="dxa"/>
            <w:noWrap w:val="0"/>
            <w:vAlign w:val="center"/>
          </w:tcPr>
          <w:p w14:paraId="0F53AE86">
            <w:pPr>
              <w:spacing w:before="40" w:line="190" w:lineRule="auto"/>
              <w:ind w:left="428"/>
              <w:jc w:val="center"/>
              <w:rPr>
                <w:rFonts w:hint="eastAsia" w:cs="宋体"/>
                <w:b w:val="0"/>
                <w:kern w:val="0"/>
                <w:sz w:val="21"/>
                <w:szCs w:val="21"/>
                <w:lang w:val="en-US" w:eastAsia="zh-CN" w:bidi="ar-SA"/>
              </w:rPr>
            </w:pPr>
            <w:r>
              <w:rPr>
                <w:rFonts w:hint="eastAsia" w:cs="宋体"/>
                <w:b w:val="0"/>
                <w:kern w:val="0"/>
                <w:sz w:val="21"/>
                <w:szCs w:val="21"/>
                <w:lang w:val="en-US" w:eastAsia="zh-CN" w:bidi="ar-SA"/>
              </w:rPr>
              <w:t>谈心谈话流程与应用技术</w:t>
            </w:r>
          </w:p>
        </w:tc>
        <w:tc>
          <w:tcPr>
            <w:tcW w:w="2768" w:type="dxa"/>
            <w:noWrap w:val="0"/>
            <w:vAlign w:val="center"/>
          </w:tcPr>
          <w:p w14:paraId="407F038B">
            <w:pPr>
              <w:spacing w:before="89" w:line="189" w:lineRule="auto"/>
              <w:ind w:left="497" w:firstLine="210" w:firstLineChars="100"/>
              <w:jc w:val="both"/>
              <w:rPr>
                <w:rFonts w:hint="eastAsia" w:cs="宋体"/>
                <w:b w:val="0"/>
                <w:kern w:val="0"/>
                <w:sz w:val="21"/>
                <w:szCs w:val="21"/>
                <w:lang w:val="en-US" w:eastAsia="zh-CN" w:bidi="ar-SA"/>
              </w:rPr>
            </w:pPr>
            <w:r>
              <w:rPr>
                <w:rFonts w:hint="eastAsia" w:cs="宋体"/>
                <w:b w:val="0"/>
                <w:kern w:val="0"/>
                <w:sz w:val="21"/>
                <w:szCs w:val="21"/>
                <w:lang w:val="en-US" w:eastAsia="zh-CN" w:bidi="ar-SA"/>
              </w:rPr>
              <w:t>学校沟通与合作</w:t>
            </w:r>
          </w:p>
        </w:tc>
      </w:tr>
    </w:tbl>
    <w:p w14:paraId="6F359E0F">
      <w:pPr>
        <w:pStyle w:val="6"/>
        <w:spacing w:line="500" w:lineRule="exact"/>
        <w:contextualSpacing/>
        <w:jc w:val="center"/>
        <w:rPr>
          <w:rFonts w:hint="eastAsia" w:ascii="仿宋" w:hAnsi="仿宋" w:cs="仿宋"/>
          <w:b/>
          <w:bCs/>
          <w:color w:val="000000"/>
          <w:spacing w:val="1"/>
          <w:sz w:val="21"/>
          <w:szCs w:val="21"/>
          <w:lang w:val="en-US" w:eastAsia="zh-CN"/>
        </w:rPr>
      </w:pPr>
      <w:r>
        <w:rPr>
          <w:rFonts w:hint="eastAsia" w:cs="宋体"/>
          <w:b w:val="0"/>
          <w:kern w:val="0"/>
          <w:sz w:val="21"/>
          <w:szCs w:val="21"/>
          <w:lang w:val="en-US" w:eastAsia="zh-CN" w:bidi="ar-SA"/>
        </w:rPr>
        <w:t xml:space="preserve"> 注： 学校根据实际情况调整课程安排</w:t>
      </w:r>
    </w:p>
    <w:p w14:paraId="33EDEB91">
      <w:pPr>
        <w:widowControl w:val="0"/>
        <w:numPr>
          <w:ilvl w:val="0"/>
          <w:numId w:val="0"/>
        </w:numPr>
        <w:jc w:val="both"/>
        <w:rPr>
          <w:rFonts w:hint="default" w:ascii="仿宋" w:hAnsi="仿宋" w:cs="仿宋"/>
          <w:b/>
          <w:bCs/>
          <w:color w:val="000000"/>
          <w:spacing w:val="1"/>
          <w:sz w:val="21"/>
          <w:szCs w:val="21"/>
          <w:lang w:val="en-US" w:eastAsia="zh-CN"/>
        </w:rPr>
      </w:pPr>
    </w:p>
    <w:p w14:paraId="18C0D349">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报名条件：</w:t>
      </w:r>
    </w:p>
    <w:p w14:paraId="431F0F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1、拥护《中华人民共和国宪法》， 遵纪守法， 品行端正， 身体健康。</w:t>
      </w:r>
    </w:p>
    <w:p w14:paraId="2B9F6B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2、具有大专以上学历者。申请硕士学位者需具有本科学士学位。</w:t>
      </w:r>
    </w:p>
    <w:p w14:paraId="5AF0AA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p>
    <w:p w14:paraId="1E0FB7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申硕条件：</w:t>
      </w:r>
    </w:p>
    <w:p w14:paraId="335260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1、申请人必须是已获学士学位并工作三年以上，或已获硕士、博士学位。</w:t>
      </w:r>
    </w:p>
    <w:p w14:paraId="27E4B7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2、申请人在申请学位的专业或相近专业领域的公开出版物发表过科研成果。</w:t>
      </w:r>
    </w:p>
    <w:p w14:paraId="578519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3、通过全国统一的同等学力人员申请硕士学位的外语考试和心理学综合考试。</w:t>
      </w:r>
    </w:p>
    <w:p w14:paraId="35B1BD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4、通过中国政法大学组织的同等学力人员申请硕士学位的学位课程考试。</w:t>
      </w:r>
    </w:p>
    <w:p w14:paraId="1FA5D2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5、资格审查合格后，申请人必须在五年内(资审通过之日起算)通过上述学位课考试与国家统考。</w:t>
      </w:r>
    </w:p>
    <w:p w14:paraId="48BBFC68">
      <w:pPr>
        <w:widowControl w:val="0"/>
        <w:numPr>
          <w:ilvl w:val="0"/>
          <w:numId w:val="0"/>
        </w:numPr>
        <w:jc w:val="both"/>
        <w:rPr>
          <w:rFonts w:hint="eastAsia" w:ascii="仿宋" w:hAnsi="仿宋" w:cs="仿宋"/>
          <w:b/>
          <w:bCs/>
          <w:color w:val="000000"/>
          <w:spacing w:val="1"/>
          <w:sz w:val="21"/>
          <w:szCs w:val="21"/>
          <w:lang w:val="en-US" w:eastAsia="zh-CN"/>
        </w:rPr>
      </w:pPr>
    </w:p>
    <w:p w14:paraId="2313BAD0">
      <w:pPr>
        <w:widowControl w:val="0"/>
        <w:numPr>
          <w:ilvl w:val="0"/>
          <w:numId w:val="0"/>
        </w:numPr>
        <w:jc w:val="both"/>
        <w:rPr>
          <w:rFonts w:hint="default" w:ascii="仿宋" w:hAnsi="仿宋" w:cs="仿宋"/>
          <w:b/>
          <w:bCs/>
          <w:color w:val="000000"/>
          <w:spacing w:val="1"/>
          <w:sz w:val="21"/>
          <w:szCs w:val="21"/>
          <w:lang w:val="en-US" w:eastAsia="zh-CN"/>
        </w:rPr>
      </w:pPr>
    </w:p>
    <w:p w14:paraId="0E3A284A">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报名材料：</w:t>
      </w:r>
    </w:p>
    <w:p w14:paraId="7A832D24">
      <w:pPr>
        <w:widowControl w:val="0"/>
        <w:numPr>
          <w:ilvl w:val="0"/>
          <w:numId w:val="0"/>
        </w:numPr>
        <w:jc w:val="both"/>
        <w:rPr>
          <w:rFonts w:hint="eastAsia" w:ascii="仿宋" w:hAnsi="仿宋" w:cs="仿宋"/>
          <w:b/>
          <w:bCs/>
          <w:color w:val="000000"/>
          <w:spacing w:val="1"/>
          <w:sz w:val="21"/>
          <w:szCs w:val="21"/>
          <w:lang w:val="en-US" w:eastAsia="zh-CN"/>
        </w:rPr>
      </w:pPr>
    </w:p>
    <w:p w14:paraId="6BFFD0A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报名表、身份证、最高学历和学位证复印件各1份，</w:t>
      </w:r>
    </w:p>
    <w:p w14:paraId="484BF20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 xml:space="preserve"> 1 寸和2寸近期免冠蓝底照片各2张。 </w:t>
      </w:r>
    </w:p>
    <w:p w14:paraId="4C1155D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重要知会： 交付学校审核的学历证书、学位证书、身份证等必须真实有效， 若因证书不真实造成后果，一切责任由本人自负。</w:t>
      </w:r>
    </w:p>
    <w:p w14:paraId="53A76A4A">
      <w:pPr>
        <w:widowControl w:val="0"/>
        <w:numPr>
          <w:ilvl w:val="0"/>
          <w:numId w:val="0"/>
        </w:numPr>
        <w:jc w:val="both"/>
        <w:rPr>
          <w:rFonts w:hint="eastAsia" w:ascii="仿宋" w:hAnsi="仿宋" w:cs="仿宋"/>
          <w:b/>
          <w:bCs/>
          <w:color w:val="000000"/>
          <w:spacing w:val="1"/>
          <w:sz w:val="21"/>
          <w:szCs w:val="21"/>
          <w:lang w:val="en-US" w:eastAsia="zh-CN"/>
        </w:rPr>
      </w:pPr>
    </w:p>
    <w:p w14:paraId="7CC4F44C">
      <w:pPr>
        <w:widowControl w:val="0"/>
        <w:numPr>
          <w:ilvl w:val="0"/>
          <w:numId w:val="0"/>
        </w:numPr>
        <w:jc w:val="both"/>
        <w:rPr>
          <w:rFonts w:hint="eastAsia" w:ascii="仿宋" w:hAnsi="仿宋" w:cs="仿宋"/>
          <w:b/>
          <w:bCs/>
          <w:color w:val="000000"/>
          <w:spacing w:val="1"/>
          <w:sz w:val="21"/>
          <w:szCs w:val="21"/>
          <w:lang w:val="en-US" w:eastAsia="zh-CN"/>
        </w:rPr>
      </w:pPr>
    </w:p>
    <w:p w14:paraId="3D2857A6">
      <w:pPr>
        <w:widowControl w:val="0"/>
        <w:numPr>
          <w:ilvl w:val="0"/>
          <w:numId w:val="0"/>
        </w:numPr>
        <w:jc w:val="both"/>
        <w:rPr>
          <w:rFonts w:hint="default" w:ascii="仿宋" w:hAnsi="仿宋" w:cs="仿宋"/>
          <w:b/>
          <w:bCs/>
          <w:color w:val="000000"/>
          <w:spacing w:val="1"/>
          <w:sz w:val="21"/>
          <w:szCs w:val="21"/>
          <w:lang w:val="en-US" w:eastAsia="zh-CN"/>
        </w:rPr>
      </w:pPr>
    </w:p>
    <w:p w14:paraId="1F5032C5">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培养方式：</w:t>
      </w:r>
    </w:p>
    <w:p w14:paraId="0C3082DD">
      <w:pPr>
        <w:pStyle w:val="3"/>
        <w:spacing w:before="110"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1、学制：2年。</w:t>
      </w:r>
    </w:p>
    <w:p w14:paraId="1B0E5D28">
      <w:pPr>
        <w:pStyle w:val="3"/>
        <w:spacing w:before="96"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2、教学方式：采用面授与网络课堂相结合的教学方式。</w:t>
      </w:r>
    </w:p>
    <w:p w14:paraId="0CDEE747">
      <w:pPr>
        <w:widowControl w:val="0"/>
        <w:numPr>
          <w:ilvl w:val="0"/>
          <w:numId w:val="0"/>
        </w:numPr>
        <w:jc w:val="both"/>
        <w:rPr>
          <w:rFonts w:hint="default" w:ascii="仿宋" w:hAnsi="仿宋" w:cs="仿宋"/>
          <w:b/>
          <w:bCs/>
          <w:color w:val="000000"/>
          <w:spacing w:val="1"/>
          <w:sz w:val="21"/>
          <w:szCs w:val="21"/>
          <w:lang w:val="en-US" w:eastAsia="zh-CN"/>
        </w:rPr>
      </w:pPr>
    </w:p>
    <w:p w14:paraId="5DF6DAF6">
      <w:pPr>
        <w:widowControl w:val="0"/>
        <w:numPr>
          <w:ilvl w:val="0"/>
          <w:numId w:val="0"/>
        </w:numPr>
        <w:jc w:val="both"/>
        <w:rPr>
          <w:rFonts w:hint="default" w:ascii="仿宋" w:hAnsi="仿宋" w:cs="仿宋"/>
          <w:b/>
          <w:bCs/>
          <w:color w:val="000000"/>
          <w:spacing w:val="1"/>
          <w:sz w:val="21"/>
          <w:szCs w:val="21"/>
          <w:lang w:val="en-US" w:eastAsia="zh-CN"/>
        </w:rPr>
      </w:pPr>
    </w:p>
    <w:p w14:paraId="7173E9C5">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收费标准：</w:t>
      </w:r>
    </w:p>
    <w:p w14:paraId="392CD4D3">
      <w:pPr>
        <w:widowControl w:val="0"/>
        <w:numPr>
          <w:ilvl w:val="0"/>
          <w:numId w:val="0"/>
        </w:numPr>
        <w:jc w:val="both"/>
        <w:rPr>
          <w:rFonts w:hint="eastAsia" w:ascii="仿宋" w:hAnsi="仿宋" w:cs="仿宋"/>
          <w:b/>
          <w:bCs/>
          <w:color w:val="000000"/>
          <w:spacing w:val="1"/>
          <w:sz w:val="21"/>
          <w:szCs w:val="21"/>
          <w:lang w:val="en-US" w:eastAsia="zh-CN"/>
        </w:rPr>
      </w:pPr>
    </w:p>
    <w:p w14:paraId="36844C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 xml:space="preserve"> </w:t>
      </w:r>
    </w:p>
    <w:p w14:paraId="60903F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p>
    <w:p w14:paraId="79185D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default" w:ascii="仿宋" w:hAnsi="仿宋" w:cs="仿宋"/>
          <w:b/>
          <w:bCs/>
          <w:color w:val="000000"/>
          <w:spacing w:val="1"/>
          <w:sz w:val="21"/>
          <w:szCs w:val="21"/>
          <w:lang w:val="en-US" w:eastAsia="zh-CN"/>
        </w:rPr>
      </w:pPr>
    </w:p>
    <w:tbl>
      <w:tblPr>
        <w:tblStyle w:val="7"/>
        <w:tblW w:w="4998" w:type="pct"/>
        <w:tblInd w:w="0" w:type="dxa"/>
        <w:shd w:val="clear" w:color="auto" w:fill="FFFFFF"/>
        <w:tblLayout w:type="autofit"/>
        <w:tblCellMar>
          <w:top w:w="0" w:type="dxa"/>
          <w:left w:w="0" w:type="dxa"/>
          <w:bottom w:w="0" w:type="dxa"/>
          <w:right w:w="0" w:type="dxa"/>
        </w:tblCellMar>
      </w:tblPr>
      <w:tblGrid>
        <w:gridCol w:w="1281"/>
        <w:gridCol w:w="2678"/>
        <w:gridCol w:w="1281"/>
        <w:gridCol w:w="3081"/>
      </w:tblGrid>
      <w:tr w14:paraId="0C598EA1">
        <w:tblPrEx>
          <w:tblCellMar>
            <w:top w:w="0" w:type="dxa"/>
            <w:left w:w="0" w:type="dxa"/>
            <w:bottom w:w="0" w:type="dxa"/>
            <w:right w:w="0" w:type="dxa"/>
          </w:tblCellMar>
        </w:tblPrEx>
        <w:trPr>
          <w:trHeight w:val="459" w:hRule="atLeast"/>
        </w:trPr>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ED49BD3">
            <w:pPr>
              <w:jc w:val="center"/>
            </w:pPr>
            <w:r>
              <w:rPr>
                <w:rStyle w:val="9"/>
                <w:rFonts w:hint="eastAsia"/>
                <w:color w:val="555555"/>
                <w:sz w:val="18"/>
                <w:szCs w:val="21"/>
              </w:rPr>
              <w:t>阶段</w:t>
            </w:r>
          </w:p>
        </w:tc>
        <w:tc>
          <w:tcPr>
            <w:tcW w:w="160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33FDC528">
            <w:pPr>
              <w:jc w:val="center"/>
            </w:pPr>
            <w:r>
              <w:rPr>
                <w:rStyle w:val="9"/>
                <w:rFonts w:hint="eastAsia"/>
                <w:color w:val="555555"/>
                <w:sz w:val="18"/>
                <w:szCs w:val="21"/>
              </w:rPr>
              <w:t>缴费时间</w:t>
            </w:r>
          </w:p>
        </w:tc>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0EDBD31">
            <w:pPr>
              <w:jc w:val="center"/>
            </w:pPr>
            <w:r>
              <w:rPr>
                <w:rStyle w:val="9"/>
                <w:rFonts w:hint="eastAsia"/>
                <w:color w:val="555555"/>
                <w:sz w:val="18"/>
                <w:szCs w:val="21"/>
              </w:rPr>
              <w:t>缴费金额</w:t>
            </w:r>
          </w:p>
        </w:tc>
        <w:tc>
          <w:tcPr>
            <w:tcW w:w="184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25082A3A">
            <w:pPr>
              <w:jc w:val="center"/>
            </w:pPr>
            <w:r>
              <w:rPr>
                <w:rStyle w:val="9"/>
                <w:rFonts w:hint="eastAsia"/>
                <w:color w:val="555555"/>
                <w:sz w:val="18"/>
                <w:szCs w:val="21"/>
              </w:rPr>
              <w:t>缴费方式</w:t>
            </w:r>
          </w:p>
        </w:tc>
      </w:tr>
      <w:tr w14:paraId="7F0CC00F">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38AA998">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第一学年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E7329F">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报名成功后缴纳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E051015">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25000元</w:t>
            </w:r>
          </w:p>
        </w:tc>
        <w:tc>
          <w:tcPr>
            <w:tcW w:w="1849" w:type="pct"/>
            <w:vMerge w:val="restar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3E4B6CE">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r>
              <w:rPr>
                <w:rFonts w:hint="eastAsia"/>
                <w:color w:val="404040" w:themeColor="text1" w:themeTint="BF"/>
                <w:sz w:val="21"/>
                <w:szCs w:val="21"/>
                <w:lang w:val="en-US"/>
                <w14:textFill>
                  <w14:solidFill>
                    <w14:schemeClr w14:val="tx1">
                      <w14:lumMod w14:val="75000"/>
                      <w14:lumOff w14:val="25000"/>
                    </w14:schemeClr>
                  </w14:solidFill>
                </w14:textFill>
              </w:rPr>
              <w:t>中国政法大学校园统一支付平台</w:t>
            </w:r>
          </w:p>
        </w:tc>
      </w:tr>
      <w:tr w14:paraId="61585434">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3213EC3A">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BFEBCC7">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6D028D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01D6862">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601F762C">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5B8FDE">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C8C6BB2">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4B3538A4">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10000元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74EE457">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31F95DFA">
        <w:tblPrEx>
          <w:shd w:val="clear" w:color="auto" w:fill="FFFFFF"/>
          <w:tblCellMar>
            <w:top w:w="0" w:type="dxa"/>
            <w:left w:w="0" w:type="dxa"/>
            <w:bottom w:w="0" w:type="dxa"/>
            <w:right w:w="0" w:type="dxa"/>
          </w:tblCellMar>
        </w:tblPrEx>
        <w:tc>
          <w:tcPr>
            <w:tcW w:w="5000" w:type="pct"/>
            <w:gridSpan w:val="4"/>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4A6D8C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lang w:val="en-US"/>
                <w14:textFill>
                  <w14:solidFill>
                    <w14:schemeClr w14:val="tx1">
                      <w14:lumMod w14:val="75000"/>
                      <w14:lumOff w14:val="25000"/>
                    </w14:schemeClr>
                  </w14:solidFill>
                </w14:textFill>
              </w:rPr>
              <w:t>注：学员在第二学年完成相关学业后可以办理结业手续；申请硕士学位的学员缴纳第三年费用，不申请学位的学员无需缴纳第三年费用</w:t>
            </w:r>
          </w:p>
        </w:tc>
      </w:tr>
    </w:tbl>
    <w:p w14:paraId="1935EB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cstheme="minorEastAsia"/>
          <w:b w:val="0"/>
          <w:bCs w:val="0"/>
          <w:sz w:val="21"/>
          <w:szCs w:val="21"/>
          <w:lang w:val="en-US" w:eastAsia="zh-CN"/>
        </w:rPr>
      </w:pPr>
    </w:p>
    <w:p w14:paraId="71E4F46A">
      <w:pPr>
        <w:widowControl w:val="0"/>
        <w:numPr>
          <w:ilvl w:val="0"/>
          <w:numId w:val="0"/>
        </w:numPr>
        <w:jc w:val="both"/>
        <w:rPr>
          <w:rFonts w:hint="default" w:ascii="仿宋" w:hAnsi="仿宋" w:cs="仿宋"/>
          <w:b/>
          <w:bCs/>
          <w:color w:val="000000"/>
          <w:spacing w:val="1"/>
          <w:sz w:val="21"/>
          <w:szCs w:val="21"/>
          <w:lang w:val="en-US" w:eastAsia="zh-CN"/>
        </w:rPr>
      </w:pPr>
    </w:p>
    <w:p w14:paraId="18027BE8">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获取证书：</w:t>
      </w:r>
    </w:p>
    <w:p w14:paraId="1F709624">
      <w:pPr>
        <w:pStyle w:val="3"/>
        <w:numPr>
          <w:ilvl w:val="0"/>
          <w:numId w:val="3"/>
        </w:numPr>
        <w:spacing w:before="100" w:line="292" w:lineRule="auto"/>
        <w:ind w:left="24" w:right="129" w:firstLine="400"/>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完成教学计划规定课程者，经学院审核后，颁发“中国政法大学同等学力研修班证书”,证书加盖学 校钢印、校印、校长印，结业名单于学院培训中心网站、学校开放教育管理办公室网站公示。</w:t>
      </w:r>
    </w:p>
    <w:p w14:paraId="0340A2E6">
      <w:pPr>
        <w:pStyle w:val="6"/>
        <w:keepNext w:val="0"/>
        <w:keepLines w:val="0"/>
        <w:pageBreakBefore w:val="0"/>
        <w:numPr>
          <w:ilvl w:val="0"/>
          <w:numId w:val="0"/>
        </w:numPr>
        <w:kinsoku/>
        <w:wordWrap/>
        <w:overflowPunct/>
        <w:topLinePunct w:val="0"/>
        <w:autoSpaceDE/>
        <w:autoSpaceDN/>
        <w:bidi w:val="0"/>
        <w:adjustRightInd/>
        <w:snapToGrid w:val="0"/>
        <w:spacing w:beforeAutospacing="0" w:afterAutospacing="0" w:line="360" w:lineRule="auto"/>
        <w:ind w:firstLine="424" w:firstLineChars="200"/>
        <w:contextualSpacing/>
        <w:textAlignment w:val="auto"/>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2、具有学士学位的学员且完成专业</w:t>
      </w:r>
      <w:bookmarkStart w:id="0" w:name="_GoBack"/>
      <w:bookmarkEnd w:id="0"/>
      <w:r>
        <w:rPr>
          <w:rFonts w:hint="eastAsia" w:ascii="仿宋" w:hAnsi="仿宋" w:cs="仿宋" w:eastAsiaTheme="minorEastAsia"/>
          <w:b w:val="0"/>
          <w:bCs w:val="0"/>
          <w:color w:val="000000"/>
          <w:spacing w:val="1"/>
          <w:kern w:val="2"/>
          <w:sz w:val="21"/>
          <w:szCs w:val="21"/>
          <w:lang w:val="en-US" w:eastAsia="zh-CN" w:bidi="ar-SA"/>
        </w:rPr>
        <w:t xml:space="preserve">全部课程学习，通过同等学力申硕全国统一考试后，可申请进入硕士学位论文撰写阶段，通过同等学力水平认定，经我校学位委员会批准，授予颁发中国政法大学法学硕士学位证书。 </w:t>
      </w:r>
    </w:p>
    <w:p w14:paraId="16AFFE6A">
      <w:pPr>
        <w:widowControl w:val="0"/>
        <w:numPr>
          <w:ilvl w:val="0"/>
          <w:numId w:val="0"/>
        </w:numPr>
        <w:jc w:val="both"/>
        <w:rPr>
          <w:rFonts w:hint="eastAsia" w:ascii="仿宋" w:hAnsi="仿宋" w:cs="仿宋"/>
          <w:b/>
          <w:bCs/>
          <w:color w:val="000000"/>
          <w:spacing w:val="1"/>
          <w:sz w:val="21"/>
          <w:szCs w:val="21"/>
          <w:lang w:val="en-US" w:eastAsia="zh-CN"/>
        </w:rPr>
      </w:pPr>
    </w:p>
    <w:p w14:paraId="22684F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p>
    <w:p w14:paraId="075459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4FFC0">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03520"/>
          <wp:effectExtent l="0" t="0" r="2540" b="11430"/>
          <wp:wrapNone/>
          <wp:docPr id="2" name="WordPictureWatermark30911" descr="中国政法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911" descr="中国政法大学LOGO"/>
                  <pic:cNvPicPr>
                    <a:picLocks noChangeAspect="1"/>
                  </pic:cNvPicPr>
                </pic:nvPicPr>
                <pic:blipFill>
                  <a:blip r:embed="rId1">
                    <a:lum bright="70000" contrast="-70000"/>
                  </a:blip>
                  <a:stretch>
                    <a:fillRect/>
                  </a:stretch>
                </pic:blipFill>
                <pic:spPr>
                  <a:xfrm>
                    <a:off x="0" y="0"/>
                    <a:ext cx="5274310" cy="53035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F8FC4F"/>
    <w:multiLevelType w:val="singleLevel"/>
    <w:tmpl w:val="37F8FC4F"/>
    <w:lvl w:ilvl="0" w:tentative="0">
      <w:start w:val="1"/>
      <w:numFmt w:val="chineseCounting"/>
      <w:suff w:val="nothing"/>
      <w:lvlText w:val="%1、"/>
      <w:lvlJc w:val="left"/>
      <w:rPr>
        <w:rFonts w:hint="eastAsia" w:ascii="宋体" w:hAnsi="宋体" w:eastAsia="宋体" w:cs="宋体"/>
        <w:sz w:val="21"/>
        <w:szCs w:val="21"/>
      </w:rPr>
    </w:lvl>
  </w:abstractNum>
  <w:abstractNum w:abstractNumId="1">
    <w:nsid w:val="62309B7C"/>
    <w:multiLevelType w:val="singleLevel"/>
    <w:tmpl w:val="62309B7C"/>
    <w:lvl w:ilvl="0" w:tentative="0">
      <w:start w:val="1"/>
      <w:numFmt w:val="decimal"/>
      <w:suff w:val="nothing"/>
      <w:lvlText w:val="%1、"/>
      <w:lvlJc w:val="left"/>
    </w:lvl>
  </w:abstractNum>
  <w:abstractNum w:abstractNumId="2">
    <w:nsid w:val="66347763"/>
    <w:multiLevelType w:val="singleLevel"/>
    <w:tmpl w:val="66347763"/>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25723A13"/>
    <w:rsid w:val="0E3B7320"/>
    <w:rsid w:val="117D6326"/>
    <w:rsid w:val="25723A13"/>
    <w:rsid w:val="2E7E7607"/>
    <w:rsid w:val="4CCE2312"/>
    <w:rsid w:val="4DF2703C"/>
    <w:rsid w:val="6DC347C2"/>
    <w:rsid w:val="7DF75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rPr>
      <w:rFonts w:ascii="黑体" w:hAnsi="黑体" w:eastAsia="黑体" w:cs="黑体"/>
      <w:sz w:val="22"/>
      <w:szCs w:val="22"/>
      <w:lang w:val="en-US" w:eastAsia="en-US"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0"/>
    <w:rPr>
      <w:b/>
    </w:rPr>
  </w:style>
  <w:style w:type="paragraph" w:customStyle="1" w:styleId="10">
    <w:name w:val="Table Text"/>
    <w:basedOn w:val="1"/>
    <w:semiHidden/>
    <w:qFormat/>
    <w:uiPriority w:val="0"/>
    <w:rPr>
      <w:rFonts w:ascii="宋体" w:hAnsi="宋体" w:eastAsia="宋体" w:cs="宋体"/>
      <w:sz w:val="21"/>
      <w:szCs w:val="21"/>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1729</Words>
  <Characters>1757</Characters>
  <Lines>0</Lines>
  <Paragraphs>0</Paragraphs>
  <TotalTime>1</TotalTime>
  <ScaleCrop>false</ScaleCrop>
  <LinksUpToDate>false</LinksUpToDate>
  <CharactersWithSpaces>1778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2026-07-25T01:49:00Z</dcterms:created>
  <dc:creator>Administrator</dc:creator>
  <cp:lastModifiedBy>Administrator</cp:lastModifiedBy>
  <dcterms:modified xsi:type="dcterms:W3CDTF">2026-01-14T05:45:04Z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0C710D50D0104E03A6574B55B5C81F06_13</vt:lpwstr>
  </property>
  <property fmtid="{D5CDD505-2E9C-101B-9397-08002B2CF9AE}" pid="4" name="KSOTemplateDocerSaveRecord">
    <vt:lpwstr>eyJoZGlkIjoiMjJkYmYyOGQwNjU2YTFjYjBlYWQzZDdlZjc2Nzk1ZWYifQ==</vt:lpwstr>
  </property>
</Properties>
</file>