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FBD90">
      <w:pPr>
        <w:pStyle w:val="8"/>
        <w:keepNext/>
        <w:keepLines/>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b/>
          <w:bCs/>
          <w:color w:val="auto"/>
          <w:sz w:val="32"/>
          <w:szCs w:val="32"/>
        </w:rPr>
      </w:pPr>
      <w:bookmarkStart w:id="0" w:name="bookmark6"/>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1191260</wp:posOffset>
            </wp:positionH>
            <wp:positionV relativeFrom="paragraph">
              <wp:posOffset>-88900</wp:posOffset>
            </wp:positionV>
            <wp:extent cx="2974340" cy="889635"/>
            <wp:effectExtent l="0" t="0" r="16510" b="571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rcRect t="34153" b="28462"/>
                    <a:stretch>
                      <a:fillRect/>
                    </a:stretch>
                  </pic:blipFill>
                  <pic:spPr>
                    <a:xfrm>
                      <a:off x="0" y="0"/>
                      <a:ext cx="2974340" cy="889635"/>
                    </a:xfrm>
                    <a:prstGeom prst="rect">
                      <a:avLst/>
                    </a:prstGeom>
                    <a:noFill/>
                    <a:ln w="9525">
                      <a:noFill/>
                    </a:ln>
                  </pic:spPr>
                </pic:pic>
              </a:graphicData>
            </a:graphic>
          </wp:anchor>
        </w:drawing>
      </w:r>
      <w:r>
        <w:rPr>
          <w:rFonts w:hint="eastAsia" w:asciiTheme="minorEastAsia" w:hAnsiTheme="minorEastAsia" w:eastAsiaTheme="minorEastAsia" w:cstheme="minorEastAsia"/>
          <w:b/>
          <w:bCs/>
          <w:color w:val="auto"/>
          <w:spacing w:val="0"/>
          <w:w w:val="100"/>
          <w:position w:val="0"/>
          <w:sz w:val="32"/>
          <w:szCs w:val="32"/>
          <w:lang w:val="en-US" w:eastAsia="zh-CN" w:bidi="zh-TW"/>
        </w:rPr>
        <w:t>中国政法大学知识产权法学专业</w:t>
      </w:r>
      <w:r>
        <w:rPr>
          <w:rFonts w:hint="eastAsia" w:asciiTheme="minorEastAsia" w:hAnsiTheme="minorEastAsia" w:eastAsiaTheme="minorEastAsia" w:cstheme="minorEastAsia"/>
          <w:b/>
          <w:bCs/>
          <w:color w:val="auto"/>
          <w:spacing w:val="0"/>
          <w:w w:val="100"/>
          <w:position w:val="0"/>
          <w:sz w:val="32"/>
          <w:szCs w:val="32"/>
          <w:lang w:val="zh-TW" w:eastAsia="zh-TW" w:bidi="zh-TW"/>
        </w:rPr>
        <w:t>同等学力研修班招生简章</w:t>
      </w:r>
      <w:bookmarkEnd w:id="0"/>
    </w:p>
    <w:p w14:paraId="6E130ED9">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w:t>
      </w:r>
    </w:p>
    <w:p w14:paraId="69B9078B">
      <w:pPr>
        <w:spacing w:line="360" w:lineRule="auto"/>
        <w:rPr>
          <w:rFonts w:hint="eastAsia" w:asciiTheme="minorEastAsia" w:hAnsiTheme="minorEastAsia" w:eastAsiaTheme="minorEastAsia" w:cstheme="minorEastAsia"/>
          <w:color w:val="auto"/>
          <w:sz w:val="21"/>
          <w:szCs w:val="21"/>
          <w:lang w:eastAsia="zh-CN"/>
        </w:rPr>
      </w:pPr>
    </w:p>
    <w:p w14:paraId="000DB8DB">
      <w:pPr>
        <w:spacing w:line="360" w:lineRule="auto"/>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eastAsia="zh-CN"/>
        </w:rPr>
        <w:t>一、学院及专业简介</w:t>
      </w:r>
    </w:p>
    <w:p w14:paraId="0EB53A29">
      <w:pPr>
        <w:spacing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中国政法大学以法学学科为特色和优势的全国重点大学，民商经济法学院是中国政法大学主要学院之一。学院于2002年6月在原经济法系的基础上整合成立，设有民商法、经济法、知识产权法、环境资源法、民事诉讼法和社会法六个博士点和硕士点，均为国家级重点学科。学院的教学科研按照“面向经济建设，贴近法律职业”的思路，注重基础研究与应用研究并举，实行多学科交叉协同，逐步形成了自己的优势、特色和风格，教学科研水平位于国内前列。</w:t>
      </w:r>
    </w:p>
    <w:p w14:paraId="2BBB76E8">
      <w:pPr>
        <w:spacing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知识产权法学是以创造性智力成果和商业标记为研究对象，涵盖专利法、商标法、著作权法等法律在内的一门新兴学科。在经济全球化背景下，知识产权制度发展迅速，不断变革和创新，当前世界经济已经处于知识经济时代，技术创新已是社会进步与经济发展的最主要动力，与之相对应的，知识产权越来越成为提升市场核心竞争力和进行市场垄断的手段，知识产权制度因此成为基础性制度和社会政策的重要组成部分。</w:t>
      </w:r>
    </w:p>
    <w:p w14:paraId="1FD64541">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0"/>
          <w:w w:val="100"/>
          <w:position w:val="0"/>
          <w:sz w:val="21"/>
          <w:szCs w:val="21"/>
        </w:rPr>
        <w:t>为了贯彻实施依法治国方略，推进新时代中国特色社会主义法治建设，适应社会对法律人才的需要，根据国务院学位委员会、教育部、国家发展改革委关于同等学力人员申请硕士学位工作的有关规定，为满足在职人员申请硕士学位的需求，经学校研究决定，中国政法大学培训学院特举办</w:t>
      </w:r>
      <w:r>
        <w:rPr>
          <w:rFonts w:hint="eastAsia" w:asciiTheme="minorEastAsia" w:hAnsiTheme="minorEastAsia" w:eastAsiaTheme="minorEastAsia" w:cstheme="minorEastAsia"/>
          <w:color w:val="auto"/>
          <w:spacing w:val="0"/>
          <w:w w:val="100"/>
          <w:position w:val="0"/>
          <w:sz w:val="21"/>
          <w:szCs w:val="21"/>
          <w:lang w:eastAsia="zh-CN"/>
        </w:rPr>
        <w:t>知识产权法学</w:t>
      </w:r>
      <w:r>
        <w:rPr>
          <w:rFonts w:hint="eastAsia" w:asciiTheme="minorEastAsia" w:hAnsiTheme="minorEastAsia" w:eastAsiaTheme="minorEastAsia" w:cstheme="minorEastAsia"/>
          <w:color w:val="auto"/>
          <w:spacing w:val="0"/>
          <w:w w:val="100"/>
          <w:position w:val="0"/>
          <w:sz w:val="21"/>
          <w:szCs w:val="21"/>
        </w:rPr>
        <w:t>专业同等学力研修班。</w:t>
      </w:r>
    </w:p>
    <w:p w14:paraId="37927EC3">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lang w:val="en-US" w:eastAsia="zh-CN"/>
        </w:rPr>
      </w:pPr>
      <w:r>
        <w:rPr>
          <w:rFonts w:hint="eastAsia" w:asciiTheme="minorEastAsia" w:hAnsiTheme="minorEastAsia" w:eastAsiaTheme="minorEastAsia" w:cstheme="minorEastAsia"/>
          <w:color w:val="auto"/>
          <w:spacing w:val="0"/>
          <w:w w:val="100"/>
          <w:position w:val="0"/>
          <w:sz w:val="21"/>
          <w:szCs w:val="21"/>
          <w:lang w:eastAsia="zh-CN"/>
        </w:rPr>
        <w:t>知识产权法学</w:t>
      </w:r>
      <w:r>
        <w:rPr>
          <w:rFonts w:hint="eastAsia" w:asciiTheme="minorEastAsia" w:hAnsiTheme="minorEastAsia" w:eastAsiaTheme="minorEastAsia" w:cstheme="minorEastAsia"/>
          <w:color w:val="auto"/>
          <w:spacing w:val="0"/>
          <w:w w:val="100"/>
          <w:position w:val="0"/>
          <w:sz w:val="21"/>
          <w:szCs w:val="21"/>
        </w:rPr>
        <w:t>专业同等学力研修班工作由中国政法大学培训学院具体负责，集中学校优势办学资源，全面开展同等学力办学工作。培训实行统一招生、统一教学、统一管理，培训按学科专业进行系统化培养。</w:t>
      </w:r>
    </w:p>
    <w:p w14:paraId="435016C6">
      <w:pPr>
        <w:numPr>
          <w:ilvl w:val="0"/>
          <w:numId w:val="1"/>
        </w:num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课程安排</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1457"/>
        <w:gridCol w:w="5673"/>
      </w:tblGrid>
      <w:tr w14:paraId="433F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76A942C3">
            <w:pPr>
              <w:shd w:val="clear"/>
              <w:spacing w:line="360" w:lineRule="auto"/>
              <w:jc w:val="center"/>
              <w:rPr>
                <w:rFonts w:hint="eastAsia" w:asciiTheme="minorEastAsia" w:hAnsiTheme="minorEastAsia" w:eastAsiaTheme="minorEastAsia" w:cstheme="minorEastAsia"/>
                <w:b/>
                <w:bCs/>
                <w:i w:val="0"/>
                <w:iCs w:val="0"/>
                <w:caps w:val="0"/>
                <w:color w:val="auto"/>
                <w:spacing w:val="0"/>
                <w:sz w:val="21"/>
                <w:szCs w:val="21"/>
                <w:vertAlign w:val="baseline"/>
                <w:lang w:eastAsia="zh-CN"/>
              </w:rPr>
            </w:pPr>
            <w:r>
              <w:rPr>
                <w:rFonts w:hint="eastAsia" w:asciiTheme="minorEastAsia" w:hAnsiTheme="minorEastAsia" w:eastAsiaTheme="minorEastAsia" w:cstheme="minorEastAsia"/>
                <w:b/>
                <w:bCs/>
                <w:i w:val="0"/>
                <w:iCs w:val="0"/>
                <w:caps w:val="0"/>
                <w:color w:val="auto"/>
                <w:spacing w:val="0"/>
                <w:sz w:val="21"/>
                <w:szCs w:val="21"/>
                <w:vertAlign w:val="baseline"/>
                <w:lang w:eastAsia="zh-CN"/>
              </w:rPr>
              <w:t>知识产权法学专业课程设置</w:t>
            </w:r>
          </w:p>
        </w:tc>
      </w:tr>
      <w:tr w14:paraId="3127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restart"/>
          </w:tcPr>
          <w:p w14:paraId="61DE6C75">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公共课</w:t>
            </w:r>
          </w:p>
          <w:p w14:paraId="7B906203">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（第一学年）</w:t>
            </w:r>
          </w:p>
        </w:tc>
        <w:tc>
          <w:tcPr>
            <w:tcW w:w="855" w:type="pct"/>
          </w:tcPr>
          <w:p w14:paraId="784FBD60">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公共学位课</w:t>
            </w:r>
          </w:p>
        </w:tc>
        <w:tc>
          <w:tcPr>
            <w:tcW w:w="3326" w:type="pct"/>
          </w:tcPr>
          <w:p w14:paraId="04021A97">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英语、习近平法治思想；</w:t>
            </w:r>
          </w:p>
        </w:tc>
      </w:tr>
      <w:tr w14:paraId="5D1D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438C2FCD">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0A500CF9">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学位基础课</w:t>
            </w:r>
          </w:p>
        </w:tc>
        <w:tc>
          <w:tcPr>
            <w:tcW w:w="3326" w:type="pct"/>
          </w:tcPr>
          <w:p w14:paraId="00680821">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宪法学、法理学、中国法制史、刑法学、民法学</w:t>
            </w:r>
            <w:r>
              <w:rPr>
                <w:rFonts w:hint="eastAsia" w:asciiTheme="minorEastAsia" w:hAnsiTheme="minorEastAsia" w:eastAsiaTheme="minorEastAsia" w:cstheme="minorEastAsia"/>
                <w:color w:val="000000"/>
                <w:spacing w:val="0"/>
                <w:w w:val="100"/>
                <w:position w:val="0"/>
                <w:sz w:val="21"/>
                <w:szCs w:val="21"/>
                <w:lang w:eastAsia="zh-CN"/>
              </w:rPr>
              <w:t>；</w:t>
            </w:r>
          </w:p>
        </w:tc>
      </w:tr>
      <w:tr w14:paraId="64A8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pct"/>
            <w:vMerge w:val="restart"/>
          </w:tcPr>
          <w:p w14:paraId="2765C9AB">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p w14:paraId="56573033">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专业课</w:t>
            </w:r>
          </w:p>
          <w:p w14:paraId="6D74EA52">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（第二学年）</w:t>
            </w:r>
          </w:p>
        </w:tc>
        <w:tc>
          <w:tcPr>
            <w:tcW w:w="855" w:type="pct"/>
          </w:tcPr>
          <w:p w14:paraId="6AAFB885">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学位专业课</w:t>
            </w:r>
          </w:p>
        </w:tc>
        <w:tc>
          <w:tcPr>
            <w:tcW w:w="3326" w:type="pct"/>
          </w:tcPr>
          <w:p w14:paraId="72378728">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知识产权法总论、著作权法、专利法、商标法</w:t>
            </w:r>
            <w:r>
              <w:rPr>
                <w:rFonts w:hint="eastAsia" w:asciiTheme="minorEastAsia" w:hAnsiTheme="minorEastAsia" w:eastAsiaTheme="minorEastAsia" w:cstheme="minorEastAsia"/>
                <w:color w:val="000000"/>
                <w:spacing w:val="0"/>
                <w:w w:val="100"/>
                <w:position w:val="0"/>
                <w:sz w:val="21"/>
                <w:szCs w:val="21"/>
                <w:lang w:eastAsia="zh-CN"/>
              </w:rPr>
              <w:t>；</w:t>
            </w:r>
          </w:p>
        </w:tc>
      </w:tr>
      <w:tr w14:paraId="5B55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3AD82678">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610DCCDE">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专业选修课</w:t>
            </w:r>
          </w:p>
        </w:tc>
        <w:tc>
          <w:tcPr>
            <w:tcW w:w="3326" w:type="pct"/>
          </w:tcPr>
          <w:p w14:paraId="4D2399E4">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知识产权前沿、知识产权经典案例分析、知识产权国际保护、反不正当竞争法及其他知识产权、企业知识产权风险及其防范、知识产权专题研究、知识产权运营、侵权法</w:t>
            </w:r>
            <w:r>
              <w:rPr>
                <w:rFonts w:hint="eastAsia" w:asciiTheme="minorEastAsia" w:hAnsiTheme="minorEastAsia" w:eastAsiaTheme="minorEastAsia" w:cstheme="minorEastAsia"/>
                <w:color w:val="000000"/>
                <w:spacing w:val="0"/>
                <w:w w:val="100"/>
                <w:position w:val="0"/>
                <w:sz w:val="21"/>
                <w:szCs w:val="21"/>
                <w:lang w:eastAsia="zh-CN"/>
              </w:rPr>
              <w:t>。</w:t>
            </w:r>
          </w:p>
        </w:tc>
      </w:tr>
    </w:tbl>
    <w:p w14:paraId="3FDFCB66">
      <w:pPr>
        <w:spacing w:line="360" w:lineRule="auto"/>
        <w:jc w:val="center"/>
        <w:rPr>
          <w:rFonts w:hint="eastAsia" w:asciiTheme="minorEastAsia" w:hAnsiTheme="minorEastAsia" w:eastAsiaTheme="minorEastAsia" w:cstheme="minorEastAsia"/>
          <w:i w:val="0"/>
          <w:iCs w:val="0"/>
          <w:caps w:val="0"/>
          <w:color w:val="auto"/>
          <w:spacing w:val="0"/>
          <w:sz w:val="21"/>
          <w:szCs w:val="21"/>
          <w:lang w:eastAsia="zh-CN"/>
        </w:rPr>
      </w:pPr>
      <w:r>
        <w:rPr>
          <w:rFonts w:hint="eastAsia" w:asciiTheme="minorEastAsia" w:hAnsiTheme="minorEastAsia" w:eastAsiaTheme="minorEastAsia" w:cstheme="minorEastAsia"/>
          <w:i w:val="0"/>
          <w:iCs w:val="0"/>
          <w:caps w:val="0"/>
          <w:color w:val="auto"/>
          <w:spacing w:val="0"/>
          <w:sz w:val="21"/>
          <w:szCs w:val="21"/>
          <w:lang w:eastAsia="zh-CN"/>
        </w:rPr>
        <w:t>注：具体参照实际教学</w:t>
      </w:r>
    </w:p>
    <w:p w14:paraId="60CB1B16">
      <w:pPr>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3482C13B">
      <w:p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三、学制及教学方式</w:t>
      </w:r>
    </w:p>
    <w:p w14:paraId="51D1F8F2">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学制：2年</w:t>
      </w:r>
    </w:p>
    <w:p w14:paraId="7AB0E6C8">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采取网络授课和面授相结合的教学方式。</w:t>
      </w:r>
    </w:p>
    <w:p w14:paraId="30C6674C">
      <w:pPr>
        <w:numPr>
          <w:ilvl w:val="0"/>
          <w:numId w:val="0"/>
        </w:numPr>
        <w:spacing w:line="360" w:lineRule="auto"/>
        <w:ind w:leftChars="0" w:right="0" w:rightChars="0"/>
        <w:rPr>
          <w:rFonts w:hint="eastAsia" w:asciiTheme="minorEastAsia" w:hAnsiTheme="minorEastAsia" w:eastAsiaTheme="minorEastAsia" w:cstheme="minorEastAsia"/>
          <w:i w:val="0"/>
          <w:iCs w:val="0"/>
          <w:caps w:val="0"/>
          <w:color w:val="auto"/>
          <w:spacing w:val="0"/>
          <w:sz w:val="21"/>
          <w:szCs w:val="21"/>
          <w:lang w:val="en-US" w:eastAsia="zh-CN"/>
        </w:rPr>
      </w:pPr>
    </w:p>
    <w:p w14:paraId="390B27A1">
      <w:pPr>
        <w:shd w:val="clear" w:color="auto" w:fill="auto"/>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四、报名条件及报名材料</w:t>
      </w:r>
    </w:p>
    <w:p w14:paraId="7D981C90">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1" w:name="bookmark15"/>
      <w:r>
        <w:rPr>
          <w:rFonts w:hint="eastAsia" w:asciiTheme="minorEastAsia" w:hAnsiTheme="minorEastAsia" w:eastAsiaTheme="minorEastAsia" w:cstheme="minorEastAsia"/>
          <w:i w:val="0"/>
          <w:iCs w:val="0"/>
          <w:caps w:val="0"/>
          <w:color w:val="auto"/>
          <w:spacing w:val="0"/>
          <w:sz w:val="21"/>
          <w:szCs w:val="21"/>
          <w:lang w:eastAsia="zh-CN"/>
        </w:rPr>
        <w:t>1</w:t>
      </w:r>
      <w:bookmarkEnd w:id="1"/>
      <w:r>
        <w:rPr>
          <w:rFonts w:hint="eastAsia" w:asciiTheme="minorEastAsia" w:hAnsiTheme="minorEastAsia" w:eastAsiaTheme="minorEastAsia" w:cstheme="minorEastAsia"/>
          <w:i w:val="0"/>
          <w:iCs w:val="0"/>
          <w:caps w:val="0"/>
          <w:color w:val="auto"/>
          <w:spacing w:val="0"/>
          <w:sz w:val="21"/>
          <w:szCs w:val="21"/>
          <w:lang w:eastAsia="zh-CN"/>
        </w:rPr>
        <w:t>、拥护《中华人民共和国宪法》，遵纪守法，品行端正，身体健康。</w:t>
      </w:r>
    </w:p>
    <w:p w14:paraId="20BCC547">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2" w:name="bookmark16"/>
      <w:r>
        <w:rPr>
          <w:rFonts w:hint="eastAsia" w:asciiTheme="minorEastAsia" w:hAnsiTheme="minorEastAsia" w:eastAsiaTheme="minorEastAsia" w:cstheme="minorEastAsia"/>
          <w:i w:val="0"/>
          <w:iCs w:val="0"/>
          <w:caps w:val="0"/>
          <w:color w:val="auto"/>
          <w:spacing w:val="0"/>
          <w:sz w:val="21"/>
          <w:szCs w:val="21"/>
          <w:lang w:eastAsia="zh-CN"/>
        </w:rPr>
        <w:t>2</w:t>
      </w:r>
      <w:bookmarkEnd w:id="2"/>
      <w:r>
        <w:rPr>
          <w:rFonts w:hint="eastAsia" w:asciiTheme="minorEastAsia" w:hAnsiTheme="minorEastAsia" w:eastAsiaTheme="minorEastAsia" w:cstheme="minorEastAsia"/>
          <w:i w:val="0"/>
          <w:iCs w:val="0"/>
          <w:caps w:val="0"/>
          <w:color w:val="auto"/>
          <w:spacing w:val="0"/>
          <w:sz w:val="21"/>
          <w:szCs w:val="21"/>
          <w:lang w:eastAsia="zh-CN"/>
        </w:rPr>
        <w:t>、专科学历及本科无学士学位者不可以报名参加同等学力申硕考试，但可以参加研修班学习。学员结业后可获得结业证书。</w:t>
      </w:r>
    </w:p>
    <w:p w14:paraId="6BE72C13">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3" w:name="bookmark17"/>
      <w:r>
        <w:rPr>
          <w:rFonts w:hint="eastAsia" w:asciiTheme="minorEastAsia" w:hAnsiTheme="minorEastAsia" w:eastAsiaTheme="minorEastAsia" w:cstheme="minorEastAsia"/>
          <w:i w:val="0"/>
          <w:iCs w:val="0"/>
          <w:caps w:val="0"/>
          <w:color w:val="auto"/>
          <w:spacing w:val="0"/>
          <w:sz w:val="21"/>
          <w:szCs w:val="21"/>
          <w:lang w:eastAsia="zh-CN"/>
        </w:rPr>
        <w:t>3</w:t>
      </w:r>
      <w:bookmarkEnd w:id="3"/>
      <w:r>
        <w:rPr>
          <w:rFonts w:hint="eastAsia" w:asciiTheme="minorEastAsia" w:hAnsiTheme="minorEastAsia" w:eastAsiaTheme="minorEastAsia" w:cstheme="minorEastAsia"/>
          <w:i w:val="0"/>
          <w:iCs w:val="0"/>
          <w:caps w:val="0"/>
          <w:color w:val="auto"/>
          <w:spacing w:val="0"/>
          <w:sz w:val="21"/>
          <w:szCs w:val="21"/>
          <w:lang w:eastAsia="zh-CN"/>
        </w:rPr>
        <w:t>、报名材料：报名表、身份证正反面复印件、最髙学历和学位证复印件各1份，二寸近期免冠蓝底照片4张。</w:t>
      </w:r>
    </w:p>
    <w:p w14:paraId="03E4A379">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12F5B851">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五、</w:t>
      </w:r>
      <w:r>
        <w:rPr>
          <w:rFonts w:hint="eastAsia" w:asciiTheme="minorEastAsia" w:hAnsiTheme="minorEastAsia" w:eastAsiaTheme="minorEastAsia" w:cstheme="minorEastAsia"/>
          <w:b/>
          <w:bCs/>
          <w:sz w:val="21"/>
          <w:szCs w:val="21"/>
        </w:rPr>
        <w:t>考试（考核）与结业</w:t>
      </w:r>
    </w:p>
    <w:p w14:paraId="7C33F0B7">
      <w:pPr>
        <w:pStyle w:val="9"/>
        <w:keepNext w:val="0"/>
        <w:keepLines w:val="0"/>
        <w:widowControl w:val="0"/>
        <w:shd w:val="clear" w:color="auto" w:fill="auto"/>
        <w:tabs>
          <w:tab w:val="left" w:pos="505"/>
        </w:tabs>
        <w:bidi w:val="0"/>
        <w:spacing w:before="0" w:after="80" w:line="360" w:lineRule="auto"/>
        <w:ind w:left="0" w:right="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学员完成教学计划规定课程者，经学院考试（考核）合格后，颁发</w:t>
      </w:r>
      <w:r>
        <w:rPr>
          <w:rFonts w:hint="eastAsia" w:asciiTheme="minorEastAsia" w:hAnsiTheme="minorEastAsia" w:eastAsiaTheme="minorEastAsia" w:cstheme="minorEastAsia"/>
          <w:sz w:val="21"/>
          <w:szCs w:val="21"/>
          <w:lang w:val="zh-CN" w:eastAsia="zh-CN"/>
        </w:rPr>
        <w:t>“中</w:t>
      </w:r>
      <w:r>
        <w:rPr>
          <w:rFonts w:hint="eastAsia" w:asciiTheme="minorEastAsia" w:hAnsiTheme="minorEastAsia" w:eastAsiaTheme="minorEastAsia" w:cstheme="minorEastAsia"/>
          <w:sz w:val="21"/>
          <w:szCs w:val="21"/>
        </w:rPr>
        <w:t>国政法大学同等学力研修班证书”（证书加盖学校钢印、校印、校长印）。</w:t>
      </w:r>
    </w:p>
    <w:p w14:paraId="713F0EDE">
      <w:pPr>
        <w:pStyle w:val="9"/>
        <w:keepNext w:val="0"/>
        <w:keepLines w:val="0"/>
        <w:widowControl w:val="0"/>
        <w:shd w:val="clear" w:color="auto" w:fill="auto"/>
        <w:tabs>
          <w:tab w:val="left" w:pos="505"/>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lang w:eastAsia="zh-CN"/>
        </w:rPr>
      </w:pPr>
    </w:p>
    <w:p w14:paraId="3EBDD46D">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六、教学特色</w:t>
      </w:r>
    </w:p>
    <w:p w14:paraId="4DA16F50">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4" w:name="bookmark20"/>
      <w:r>
        <w:rPr>
          <w:rFonts w:hint="eastAsia" w:asciiTheme="minorEastAsia" w:hAnsiTheme="minorEastAsia" w:eastAsiaTheme="minorEastAsia" w:cstheme="minorEastAsia"/>
          <w:sz w:val="21"/>
          <w:szCs w:val="21"/>
          <w:lang w:eastAsia="zh-CN"/>
        </w:rPr>
        <w:t>1</w:t>
      </w:r>
      <w:bookmarkEnd w:id="4"/>
      <w:r>
        <w:rPr>
          <w:rFonts w:hint="eastAsia" w:asciiTheme="minorEastAsia" w:hAnsiTheme="minorEastAsia" w:eastAsiaTheme="minorEastAsia" w:cstheme="minorEastAsia"/>
          <w:sz w:val="21"/>
          <w:szCs w:val="21"/>
          <w:lang w:eastAsia="zh-CN"/>
        </w:rPr>
        <w:t>、加强同等学力人员申请硕士学位外语和法学综合考试的辅导课程，提升学员通过考试的能力。</w:t>
      </w:r>
    </w:p>
    <w:p w14:paraId="28945E60">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5" w:name="bookmark21"/>
      <w:r>
        <w:rPr>
          <w:rFonts w:hint="eastAsia" w:asciiTheme="minorEastAsia" w:hAnsiTheme="minorEastAsia" w:eastAsiaTheme="minorEastAsia" w:cstheme="minorEastAsia"/>
          <w:sz w:val="21"/>
          <w:szCs w:val="21"/>
          <w:lang w:eastAsia="zh-CN"/>
        </w:rPr>
        <w:t>2</w:t>
      </w:r>
      <w:bookmarkEnd w:id="5"/>
      <w:r>
        <w:rPr>
          <w:rFonts w:hint="eastAsia" w:asciiTheme="minorEastAsia" w:hAnsiTheme="minorEastAsia" w:eastAsiaTheme="minorEastAsia" w:cstheme="minorEastAsia"/>
          <w:sz w:val="21"/>
          <w:szCs w:val="21"/>
          <w:lang w:eastAsia="zh-CN"/>
        </w:rPr>
        <w:t>、开设论文写作与指导课程，提升学术论文的写作能力。</w:t>
      </w:r>
    </w:p>
    <w:p w14:paraId="28FA7346">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6" w:name="bookmark22"/>
      <w:r>
        <w:rPr>
          <w:rFonts w:hint="eastAsia" w:asciiTheme="minorEastAsia" w:hAnsiTheme="minorEastAsia" w:eastAsiaTheme="minorEastAsia" w:cstheme="minorEastAsia"/>
          <w:sz w:val="21"/>
          <w:szCs w:val="21"/>
          <w:lang w:eastAsia="zh-CN"/>
        </w:rPr>
        <w:t>3</w:t>
      </w:r>
      <w:bookmarkEnd w:id="6"/>
      <w:r>
        <w:rPr>
          <w:rFonts w:hint="eastAsia" w:asciiTheme="minorEastAsia" w:hAnsiTheme="minorEastAsia" w:eastAsiaTheme="minorEastAsia" w:cstheme="minorEastAsia"/>
          <w:sz w:val="21"/>
          <w:szCs w:val="21"/>
          <w:lang w:eastAsia="zh-CN"/>
        </w:rPr>
        <w:t>、小班管理，实行班主任负责制。</w:t>
      </w:r>
    </w:p>
    <w:p w14:paraId="56D9360F">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通过以上各环节，最终实现全面提高学员申硕率的培养目标。</w:t>
      </w:r>
    </w:p>
    <w:p w14:paraId="7C76F3DA">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64DAD224">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七、申硕条件</w:t>
      </w:r>
    </w:p>
    <w:p w14:paraId="71518F50">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7" w:name="bookmark24"/>
      <w:r>
        <w:rPr>
          <w:rFonts w:hint="eastAsia" w:asciiTheme="minorEastAsia" w:hAnsiTheme="minorEastAsia" w:eastAsiaTheme="minorEastAsia" w:cstheme="minorEastAsia"/>
          <w:sz w:val="21"/>
          <w:szCs w:val="21"/>
          <w:lang w:eastAsia="zh-CN"/>
        </w:rPr>
        <w:t>1</w:t>
      </w:r>
      <w:bookmarkEnd w:id="7"/>
      <w:r>
        <w:rPr>
          <w:rFonts w:hint="eastAsia" w:asciiTheme="minorEastAsia" w:hAnsiTheme="minorEastAsia" w:eastAsiaTheme="minorEastAsia" w:cstheme="minorEastAsia"/>
          <w:sz w:val="21"/>
          <w:szCs w:val="21"/>
          <w:lang w:eastAsia="zh-CN"/>
        </w:rPr>
        <w:t>、已获得学士学位，并在获得学士学位后工作3年以上或虽无学士学位但已获得硕士或博士学位。</w:t>
      </w:r>
    </w:p>
    <w:p w14:paraId="24311794">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8" w:name="bookmark25"/>
      <w:r>
        <w:rPr>
          <w:rFonts w:hint="eastAsia" w:asciiTheme="minorEastAsia" w:hAnsiTheme="minorEastAsia" w:eastAsiaTheme="minorEastAsia" w:cstheme="minorEastAsia"/>
          <w:sz w:val="21"/>
          <w:szCs w:val="21"/>
          <w:lang w:eastAsia="zh-CN"/>
        </w:rPr>
        <w:t>2</w:t>
      </w:r>
      <w:bookmarkEnd w:id="8"/>
      <w:r>
        <w:rPr>
          <w:rFonts w:hint="eastAsia" w:asciiTheme="minorEastAsia" w:hAnsiTheme="minorEastAsia" w:eastAsiaTheme="minorEastAsia" w:cstheme="minorEastAsia"/>
          <w:sz w:val="21"/>
          <w:szCs w:val="21"/>
          <w:lang w:eastAsia="zh-CN"/>
        </w:rPr>
        <w:t>、在申请学位的专业或相近专业的教学、科研、专门技术领域取得一定成绩者（一般认定标准为：公开发表一篇不低于3000字的法学专业论文）。</w:t>
      </w:r>
    </w:p>
    <w:p w14:paraId="43F0A6BB">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9" w:name="bookmark26"/>
      <w:r>
        <w:rPr>
          <w:rFonts w:hint="eastAsia" w:asciiTheme="minorEastAsia" w:hAnsiTheme="minorEastAsia" w:eastAsiaTheme="minorEastAsia" w:cstheme="minorEastAsia"/>
          <w:sz w:val="21"/>
          <w:szCs w:val="21"/>
          <w:lang w:eastAsia="zh-CN"/>
        </w:rPr>
        <w:t>3</w:t>
      </w:r>
      <w:bookmarkEnd w:id="9"/>
      <w:r>
        <w:rPr>
          <w:rFonts w:hint="eastAsia" w:asciiTheme="minorEastAsia" w:hAnsiTheme="minorEastAsia" w:eastAsiaTheme="minorEastAsia" w:cstheme="minorEastAsia"/>
          <w:sz w:val="21"/>
          <w:szCs w:val="21"/>
          <w:lang w:eastAsia="zh-CN"/>
        </w:rPr>
        <w:t>、学校的学位与研究生教育管理部门组织对已经资格审查合格的申请人，按硕士研究生培养方案规定的课程进行考试。</w:t>
      </w:r>
    </w:p>
    <w:p w14:paraId="3A535332">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4、通过全国统一的同等学力人员申请硕士学位的外语考试和法学综合考试。</w:t>
      </w:r>
    </w:p>
    <w:p w14:paraId="58A231FA">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5、完成相关专业培养方案的规定课程并通过考试（考核），修满相应学分，获得结业证书。</w:t>
      </w:r>
    </w:p>
    <w:p w14:paraId="1E770B1A">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6、申请人自资审之日起五年之内通过国考和完成答辩；且最后一个学分获得之日起一年半之内完成答辩；上述两个条件要同时满足。</w:t>
      </w:r>
    </w:p>
    <w:p w14:paraId="0EABCB6E">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rPr>
      </w:pPr>
    </w:p>
    <w:p w14:paraId="62808AFB">
      <w:pPr>
        <w:pStyle w:val="9"/>
        <w:keepNext w:val="0"/>
        <w:keepLines w:val="0"/>
        <w:widowControl w:val="0"/>
        <w:numPr>
          <w:ilvl w:val="0"/>
          <w:numId w:val="3"/>
        </w:numPr>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b/>
          <w:bCs/>
          <w:color w:val="000000"/>
          <w:spacing w:val="0"/>
          <w:w w:val="100"/>
          <w:position w:val="0"/>
          <w:sz w:val="21"/>
          <w:szCs w:val="21"/>
          <w:lang w:eastAsia="zh-CN"/>
        </w:rPr>
      </w:pPr>
      <w:r>
        <w:rPr>
          <w:rFonts w:hint="eastAsia" w:asciiTheme="minorEastAsia" w:hAnsiTheme="minorEastAsia" w:eastAsiaTheme="minorEastAsia" w:cstheme="minorEastAsia"/>
          <w:b/>
          <w:bCs/>
          <w:color w:val="000000"/>
          <w:spacing w:val="0"/>
          <w:w w:val="100"/>
          <w:position w:val="0"/>
          <w:sz w:val="21"/>
          <w:szCs w:val="21"/>
          <w:lang w:eastAsia="zh-CN"/>
        </w:rPr>
        <w:t>缴费时间</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3034"/>
        <w:gridCol w:w="1827"/>
        <w:gridCol w:w="2269"/>
      </w:tblGrid>
      <w:tr w14:paraId="34E8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223AEB99">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阶段</w:t>
            </w:r>
          </w:p>
        </w:tc>
        <w:tc>
          <w:tcPr>
            <w:tcW w:w="3034" w:type="dxa"/>
          </w:tcPr>
          <w:p w14:paraId="31B3216B">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缴费时间</w:t>
            </w:r>
          </w:p>
        </w:tc>
        <w:tc>
          <w:tcPr>
            <w:tcW w:w="1827" w:type="dxa"/>
          </w:tcPr>
          <w:p w14:paraId="131F1500">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缴费金额</w:t>
            </w:r>
          </w:p>
        </w:tc>
        <w:tc>
          <w:tcPr>
            <w:tcW w:w="2269" w:type="dxa"/>
          </w:tcPr>
          <w:p w14:paraId="7D1508BC">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缴费方式</w:t>
            </w:r>
          </w:p>
        </w:tc>
      </w:tr>
      <w:tr w14:paraId="2031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369833EA">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第一学年</w:t>
            </w:r>
          </w:p>
        </w:tc>
        <w:tc>
          <w:tcPr>
            <w:tcW w:w="3034" w:type="dxa"/>
          </w:tcPr>
          <w:p w14:paraId="5D03D005">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报名成功后缴纳</w:t>
            </w:r>
          </w:p>
        </w:tc>
        <w:tc>
          <w:tcPr>
            <w:tcW w:w="1827" w:type="dxa"/>
          </w:tcPr>
          <w:p w14:paraId="463D3095">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25000元</w:t>
            </w:r>
          </w:p>
        </w:tc>
        <w:tc>
          <w:tcPr>
            <w:tcW w:w="2269" w:type="dxa"/>
            <w:vMerge w:val="restart"/>
          </w:tcPr>
          <w:p w14:paraId="2F1124C3">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中国政法大学</w:t>
            </w:r>
          </w:p>
          <w:p w14:paraId="70351E1B">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统一支付平台</w:t>
            </w:r>
          </w:p>
        </w:tc>
      </w:tr>
      <w:tr w14:paraId="02A6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26B23158">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w:t>
            </w:r>
          </w:p>
        </w:tc>
        <w:tc>
          <w:tcPr>
            <w:tcW w:w="3034" w:type="dxa"/>
          </w:tcPr>
          <w:p w14:paraId="3C98FFFD">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第二学年开学后两周内缴纳</w:t>
            </w:r>
          </w:p>
        </w:tc>
        <w:tc>
          <w:tcPr>
            <w:tcW w:w="1827" w:type="dxa"/>
          </w:tcPr>
          <w:p w14:paraId="1A4771D2">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20000元</w:t>
            </w:r>
          </w:p>
        </w:tc>
        <w:tc>
          <w:tcPr>
            <w:tcW w:w="2269" w:type="dxa"/>
            <w:vMerge w:val="continue"/>
          </w:tcPr>
          <w:p w14:paraId="22CA101B">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r w14:paraId="08EB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6107D752">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w:t>
            </w:r>
          </w:p>
        </w:tc>
        <w:tc>
          <w:tcPr>
            <w:tcW w:w="3034" w:type="dxa"/>
          </w:tcPr>
          <w:p w14:paraId="3588164E">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第三学年开学后缴纳</w:t>
            </w:r>
          </w:p>
        </w:tc>
        <w:tc>
          <w:tcPr>
            <w:tcW w:w="1827" w:type="dxa"/>
          </w:tcPr>
          <w:p w14:paraId="2D869100">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10000元</w:t>
            </w:r>
          </w:p>
        </w:tc>
        <w:tc>
          <w:tcPr>
            <w:tcW w:w="2269" w:type="dxa"/>
            <w:vMerge w:val="continue"/>
          </w:tcPr>
          <w:p w14:paraId="4C74F896">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bl>
    <w:p w14:paraId="2EB63B6A">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注：学员在第二学年完成相关学业后可以办理结业手续；申请硕士学位的学员缴纳第三年 费用；不申请硕士学位的学员无需缴纳第三年费用</w:t>
      </w:r>
      <w:r>
        <w:rPr>
          <w:rFonts w:hint="eastAsia" w:asciiTheme="minorEastAsia" w:hAnsiTheme="minorEastAsia" w:eastAsiaTheme="minorEastAsia" w:cstheme="minorEastAsia"/>
          <w:sz w:val="21"/>
          <w:szCs w:val="21"/>
          <w:lang w:eastAsia="zh-CN"/>
        </w:rPr>
        <w:t>）</w:t>
      </w:r>
    </w:p>
    <w:p w14:paraId="67D3D6BF">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1508FD6C">
      <w:pPr>
        <w:pStyle w:val="9"/>
        <w:keepNext w:val="0"/>
        <w:keepLines w:val="0"/>
        <w:widowControl w:val="0"/>
        <w:numPr>
          <w:ilvl w:val="0"/>
          <w:numId w:val="0"/>
        </w:numPr>
        <w:shd w:val="clear" w:color="auto" w:fill="auto"/>
        <w:bidi w:val="0"/>
        <w:spacing w:before="0" w:after="180" w:line="360" w:lineRule="auto"/>
        <w:ind w:leftChars="0" w:right="0" w:rightChars="0"/>
        <w:jc w:val="both"/>
        <w:rPr>
          <w:rFonts w:hint="default" w:asciiTheme="minorEastAsia" w:hAnsiTheme="minorEastAsia" w:eastAsiaTheme="minorEastAsia" w:cstheme="minorEastAsia"/>
          <w:sz w:val="21"/>
          <w:szCs w:val="21"/>
          <w:lang w:val="en-US" w:eastAsia="zh-CN"/>
        </w:rPr>
      </w:pPr>
      <w:bookmarkStart w:id="10" w:name="_GoBack"/>
      <w:bookmarkEnd w:id="10"/>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9A83E">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293995"/>
          <wp:effectExtent l="0" t="0" r="2540" b="1905"/>
          <wp:wrapNone/>
          <wp:docPr id="2" name="WordPictureWatermark27156" descr="法大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156" descr="法大水印"/>
                  <pic:cNvPicPr>
                    <a:picLocks noChangeAspect="1"/>
                  </pic:cNvPicPr>
                </pic:nvPicPr>
                <pic:blipFill>
                  <a:blip r:embed="rId1">
                    <a:lum bright="69998" contrast="-70001"/>
                  </a:blip>
                  <a:stretch>
                    <a:fillRect/>
                  </a:stretch>
                </pic:blipFill>
                <pic:spPr>
                  <a:xfrm>
                    <a:off x="0" y="0"/>
                    <a:ext cx="5274310" cy="5293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47CFB2"/>
    <w:multiLevelType w:val="singleLevel"/>
    <w:tmpl w:val="DA47CFB2"/>
    <w:lvl w:ilvl="0" w:tentative="0">
      <w:start w:val="8"/>
      <w:numFmt w:val="chineseCounting"/>
      <w:suff w:val="nothing"/>
      <w:lvlText w:val="%1、"/>
      <w:lvlJc w:val="left"/>
      <w:rPr>
        <w:rFonts w:hint="eastAsia"/>
      </w:rPr>
    </w:lvl>
  </w:abstractNum>
  <w:abstractNum w:abstractNumId="1">
    <w:nsid w:val="5084E203"/>
    <w:multiLevelType w:val="singleLevel"/>
    <w:tmpl w:val="5084E203"/>
    <w:lvl w:ilvl="0" w:tentative="0">
      <w:start w:val="2"/>
      <w:numFmt w:val="chineseCounting"/>
      <w:suff w:val="nothing"/>
      <w:lvlText w:val="%1、"/>
      <w:lvlJc w:val="left"/>
      <w:rPr>
        <w:rFonts w:hint="eastAsia"/>
      </w:rPr>
    </w:lvl>
  </w:abstractNum>
  <w:abstractNum w:abstractNumId="2">
    <w:nsid w:val="665A32E8"/>
    <w:multiLevelType w:val="singleLevel"/>
    <w:tmpl w:val="665A32E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OGM2N2E2YzA2ZDc1ODMyNDk3MDM3OTQ1ZmEwZjAifQ=="/>
  </w:docVars>
  <w:rsids>
    <w:rsidRoot w:val="2A9D1E72"/>
    <w:rsid w:val="1B693ACB"/>
    <w:rsid w:val="2A9D1E72"/>
    <w:rsid w:val="2C3047F6"/>
    <w:rsid w:val="31FD48B2"/>
    <w:rsid w:val="3A152406"/>
    <w:rsid w:val="48F05114"/>
    <w:rsid w:val="609F3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Heading #2|1"/>
    <w:basedOn w:val="1"/>
    <w:qFormat/>
    <w:uiPriority w:val="0"/>
    <w:pPr>
      <w:widowControl w:val="0"/>
      <w:shd w:val="clear" w:color="auto" w:fill="auto"/>
      <w:spacing w:after="340"/>
      <w:jc w:val="center"/>
      <w:outlineLvl w:val="1"/>
    </w:pPr>
    <w:rPr>
      <w:sz w:val="30"/>
      <w:szCs w:val="30"/>
      <w:u w:val="none"/>
      <w:shd w:val="clear" w:color="auto" w:fill="auto"/>
    </w:rPr>
  </w:style>
  <w:style w:type="paragraph" w:customStyle="1" w:styleId="9">
    <w:name w:val="Body text|1"/>
    <w:basedOn w:val="1"/>
    <w:qFormat/>
    <w:uiPriority w:val="0"/>
    <w:pPr>
      <w:widowControl w:val="0"/>
      <w:shd w:val="clear" w:color="auto" w:fill="auto"/>
      <w:spacing w:after="40" w:line="295" w:lineRule="auto"/>
    </w:pPr>
    <w:rPr>
      <w:rFonts w:ascii="宋体" w:hAnsi="宋体" w:eastAsia="宋体" w:cs="宋体"/>
      <w:sz w:val="22"/>
      <w:szCs w:val="22"/>
      <w:u w:val="none"/>
      <w:shd w:val="clear" w:color="auto" w:fill="auto"/>
      <w:lang w:val="zh-TW" w:eastAsia="zh-TW" w:bidi="zh-TW"/>
    </w:rPr>
  </w:style>
  <w:style w:type="paragraph" w:customStyle="1" w:styleId="10">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1855</Words>
  <Characters>1882</Characters>
  <Lines>0</Lines>
  <Paragraphs>0</Paragraphs>
  <TotalTime>0</TotalTime>
  <ScaleCrop>false</ScaleCrop>
  <LinksUpToDate>false</LinksUpToDate>
  <CharactersWithSpaces>1883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2023-02-06T02:33:00Z</dcterms:created>
  <dc:creator>Administrator</dc:creator>
  <cp:lastModifiedBy>Administrator</cp:lastModifiedBy>
  <dcterms:modified xsi:type="dcterms:W3CDTF">2026-01-14T03:30:09Z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65ADD44255A24780B8D0BB29030D5EE9</vt:lpwstr>
  </property>
  <property fmtid="{D5CDD505-2E9C-101B-9397-08002B2CF9AE}" pid="4" name="KSOTemplateDocerSaveRecord">
    <vt:lpwstr>eyJoZGlkIjoiMjJkYmYyOGQwNjU2YTFjYjBlYWQzZDdlZjc2Nzk1ZWYifQ==</vt:lpwstr>
  </property>
</Properties>
</file>