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57789">
      <w:pPr>
        <w:jc w:val="center"/>
      </w:pPr>
      <w:r>
        <w:drawing>
          <wp:inline distT="0" distB="0" distL="114300" distR="114300">
            <wp:extent cx="4311015" cy="140335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311015" cy="1403350"/>
                    </a:xfrm>
                    <a:prstGeom prst="rect">
                      <a:avLst/>
                    </a:prstGeom>
                    <a:noFill/>
                    <a:ln>
                      <a:noFill/>
                    </a:ln>
                  </pic:spPr>
                </pic:pic>
              </a:graphicData>
            </a:graphic>
          </wp:inline>
        </w:drawing>
      </w:r>
    </w:p>
    <w:p w14:paraId="28775F57">
      <w:pPr>
        <w:jc w:val="center"/>
      </w:pPr>
    </w:p>
    <w:p w14:paraId="3F0B5DE6">
      <w:pPr>
        <w:jc w:val="center"/>
        <w:rPr>
          <w:rFonts w:hint="eastAsia" w:ascii="仿宋" w:hAnsi="仿宋" w:cs="仿宋"/>
          <w:b/>
          <w:bCs/>
          <w:color w:val="000000"/>
          <w:spacing w:val="1"/>
          <w:sz w:val="32"/>
          <w:szCs w:val="32"/>
          <w:lang w:val="en-US" w:eastAsia="zh-CN"/>
        </w:rPr>
      </w:pPr>
      <w:r>
        <w:rPr>
          <w:rFonts w:hint="eastAsia" w:ascii="仿宋" w:hAnsi="仿宋" w:cs="仿宋"/>
          <w:b/>
          <w:bCs/>
          <w:color w:val="000000"/>
          <w:spacing w:val="1"/>
          <w:sz w:val="32"/>
          <w:szCs w:val="32"/>
          <w:lang w:val="en-US" w:eastAsia="zh-CN"/>
        </w:rPr>
        <w:t>中国</w:t>
      </w:r>
      <w:r>
        <w:rPr>
          <w:rFonts w:ascii="仿宋" w:hAnsi="仿宋" w:cs="仿宋"/>
          <w:b/>
          <w:bCs/>
          <w:color w:val="000000"/>
          <w:spacing w:val="1"/>
          <w:sz w:val="32"/>
          <w:szCs w:val="32"/>
        </w:rPr>
        <w:t>政法大学犯罪心理与行为矫治</w:t>
      </w:r>
      <w:r>
        <w:rPr>
          <w:rFonts w:hint="eastAsia" w:ascii="仿宋" w:hAnsi="仿宋" w:cs="仿宋"/>
          <w:b/>
          <w:bCs/>
          <w:color w:val="000000"/>
          <w:spacing w:val="1"/>
          <w:sz w:val="32"/>
          <w:szCs w:val="32"/>
          <w:lang w:val="en-US" w:eastAsia="zh-CN"/>
        </w:rPr>
        <w:t>专业同等学力申硕</w:t>
      </w:r>
    </w:p>
    <w:p w14:paraId="4396C9EF">
      <w:pPr>
        <w:jc w:val="center"/>
        <w:rPr>
          <w:rFonts w:ascii="仿宋" w:hAnsi="仿宋" w:cs="仿宋"/>
          <w:b/>
          <w:bCs/>
          <w:color w:val="000000"/>
          <w:spacing w:val="1"/>
          <w:sz w:val="32"/>
          <w:szCs w:val="32"/>
        </w:rPr>
      </w:pPr>
      <w:r>
        <w:rPr>
          <w:rFonts w:ascii="仿宋" w:hAnsi="仿宋" w:cs="仿宋"/>
          <w:b/>
          <w:bCs/>
          <w:color w:val="000000"/>
          <w:spacing w:val="1"/>
          <w:sz w:val="32"/>
          <w:szCs w:val="32"/>
        </w:rPr>
        <w:t>招生简章</w:t>
      </w:r>
    </w:p>
    <w:p w14:paraId="4FDB2C01">
      <w:pPr>
        <w:jc w:val="both"/>
        <w:rPr>
          <w:rFonts w:ascii="仿宋" w:hAnsi="仿宋" w:cs="仿宋"/>
          <w:b/>
          <w:bCs/>
          <w:color w:val="000000"/>
          <w:spacing w:val="1"/>
          <w:sz w:val="36"/>
          <w:szCs w:val="36"/>
        </w:rPr>
      </w:pPr>
    </w:p>
    <w:p w14:paraId="3B5F4DB7">
      <w:pPr>
        <w:numPr>
          <w:ilvl w:val="0"/>
          <w:numId w:val="1"/>
        </w:numPr>
        <w:jc w:val="both"/>
        <w:rPr>
          <w:rFonts w:hint="default" w:asciiTheme="minorEastAsia" w:hAnsiTheme="minorEastAsia" w:eastAsiaTheme="minorEastAsia" w:cstheme="minorEastAsia"/>
          <w:b w:val="0"/>
          <w:bCs w:val="0"/>
          <w:sz w:val="21"/>
          <w:szCs w:val="21"/>
          <w:lang w:val="en-US" w:eastAsia="zh-CN"/>
        </w:rPr>
      </w:pPr>
      <w:r>
        <w:rPr>
          <w:rFonts w:hint="eastAsia" w:ascii="仿宋" w:hAnsi="仿宋" w:cs="仿宋"/>
          <w:b/>
          <w:bCs/>
          <w:color w:val="000000"/>
          <w:spacing w:val="1"/>
          <w:sz w:val="21"/>
          <w:szCs w:val="21"/>
          <w:lang w:val="en-US" w:eastAsia="zh-CN"/>
        </w:rPr>
        <w:t>院校简介：</w:t>
      </w:r>
    </w:p>
    <w:p w14:paraId="78A2BE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eastAsiaTheme="minorEastAsia" w:cstheme="minorEastAsia"/>
          <w:b w:val="0"/>
          <w:bCs w:val="0"/>
          <w:sz w:val="21"/>
          <w:szCs w:val="21"/>
          <w:lang w:val="en-US" w:eastAsia="zh-CN"/>
        </w:rPr>
      </w:pPr>
      <w:r>
        <w:rPr>
          <w:rFonts w:hint="default" w:asciiTheme="minorEastAsia" w:hAnsiTheme="minorEastAsia" w:eastAsiaTheme="minorEastAsia" w:cstheme="minorEastAsia"/>
          <w:b w:val="0"/>
          <w:bCs w:val="0"/>
          <w:sz w:val="21"/>
          <w:szCs w:val="21"/>
          <w:lang w:val="en-US" w:eastAsia="zh-CN"/>
        </w:rPr>
        <w:t>中国政法大学是一所以法学学科为特色和优势，兼有政治学、经济学、管理学、文学、历史学、哲学、教育学、理学、工学等学科的“211工程”重点建设大学，“‘985工程’优势学科创新平台”“2011计划”和“111计划”（高校学科创新引智计划）重点建设高校，国家“双一流”建设高校，直属于国家教育部，由教育部与北京市共建，正致力于建设世界一流大学和一流学科。学校被誉为“中国法学教育的最高学府”，在70余年的办学历程中，学校为国家培养了各类优秀人才30多万人。学校是国家法学教育和法治人才培养的主力军，参与了自建校以来几乎国家的所有立法活动，引领国家法学教育的创新、法学理论的革新和法治思想的更新，代表国家对外进行法学学术和法治文化交流。同时，学校多学科和跨学科的人才培养模式也为社会输送了一大批人文社会科学高级专门人才，成为国家政治、经济、社会、文化等领域人才培养的生力军。</w:t>
      </w:r>
    </w:p>
    <w:p w14:paraId="34B210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eastAsiaTheme="minorEastAsia" w:cstheme="minorEastAsia"/>
          <w:b w:val="0"/>
          <w:bCs w:val="0"/>
          <w:sz w:val="21"/>
          <w:szCs w:val="21"/>
          <w:lang w:val="en-US" w:eastAsia="zh-CN"/>
        </w:rPr>
      </w:pPr>
      <w:r>
        <w:rPr>
          <w:rFonts w:hint="default" w:asciiTheme="minorEastAsia" w:hAnsiTheme="minorEastAsia" w:eastAsiaTheme="minorEastAsia" w:cstheme="minorEastAsia"/>
          <w:b w:val="0"/>
          <w:bCs w:val="0"/>
          <w:sz w:val="21"/>
          <w:szCs w:val="21"/>
          <w:lang w:val="en-US" w:eastAsia="zh-CN"/>
        </w:rPr>
        <w:t>中国政法大学心理学专业在经过40年的建设后，现已形成以法律心理学、犯罪心理学等优势学科为龙 头的专业导向建设，并建立起了从本科到博士(联合培养)的完整人才培养体系。心理学系以特色学科为 依托，以优良师资为支撑，得到了快速的发展，呈现出“小而强，特而优”的发展格局。心理学相关专业同等学力研修班工作由中国政法大学培训学院具体负责，集中学校优势办学资源，全 面开展同等学力办学工作。培训实行统一招生、统一教学、统一管理，培训按学科专业进行系统化培养。</w:t>
      </w:r>
    </w:p>
    <w:p w14:paraId="3A52F46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eastAsia" w:cs="宋体"/>
          <w:kern w:val="2"/>
          <w:sz w:val="21"/>
          <w:szCs w:val="21"/>
          <w:lang w:val="en-US" w:eastAsia="zh-CN" w:bidi="ar-SA"/>
        </w:rPr>
      </w:pPr>
      <w:r>
        <w:rPr>
          <w:rFonts w:hint="eastAsia" w:ascii="宋体" w:hAnsi="宋体" w:eastAsia="宋体" w:cs="宋体"/>
          <w:kern w:val="2"/>
          <w:sz w:val="21"/>
          <w:szCs w:val="21"/>
          <w:lang w:val="en-US" w:eastAsia="zh-CN" w:bidi="ar-SA"/>
        </w:rPr>
        <w:t>中国</w:t>
      </w:r>
      <w:r>
        <w:rPr>
          <w:rFonts w:hint="eastAsia" w:cs="宋体"/>
          <w:kern w:val="2"/>
          <w:sz w:val="21"/>
          <w:szCs w:val="21"/>
          <w:lang w:val="en-US" w:eastAsia="zh-CN" w:bidi="ar-SA"/>
        </w:rPr>
        <w:t>政法</w:t>
      </w:r>
      <w:r>
        <w:rPr>
          <w:rFonts w:hint="eastAsia" w:ascii="宋体" w:hAnsi="宋体" w:eastAsia="宋体" w:cs="宋体"/>
          <w:kern w:val="2"/>
          <w:sz w:val="21"/>
          <w:szCs w:val="21"/>
          <w:lang w:val="en-US" w:eastAsia="zh-CN" w:bidi="ar-SA"/>
        </w:rPr>
        <w:t>大学在全国地区面向社会开设</w:t>
      </w:r>
      <w:r>
        <w:rPr>
          <w:rFonts w:hint="eastAsia" w:cs="宋体"/>
          <w:kern w:val="2"/>
          <w:sz w:val="21"/>
          <w:szCs w:val="21"/>
          <w:lang w:val="en-US" w:eastAsia="zh-CN" w:bidi="ar-SA"/>
        </w:rPr>
        <w:t>犯罪心理与行为矫治专业</w:t>
      </w:r>
      <w:r>
        <w:rPr>
          <w:rFonts w:hint="eastAsia" w:ascii="宋体" w:hAnsi="宋体" w:eastAsia="宋体" w:cs="宋体"/>
          <w:kern w:val="2"/>
          <w:sz w:val="21"/>
          <w:szCs w:val="21"/>
          <w:lang w:val="en-US" w:eastAsia="zh-CN" w:bidi="ar-SA"/>
        </w:rPr>
        <w:t>在职课程培训班</w:t>
      </w:r>
      <w:r>
        <w:rPr>
          <w:rFonts w:hint="eastAsia" w:cs="宋体"/>
          <w:kern w:val="2"/>
          <w:sz w:val="21"/>
          <w:szCs w:val="21"/>
          <w:lang w:val="en-US" w:eastAsia="zh-CN" w:bidi="ar-SA"/>
        </w:rPr>
        <w:t>，为我国社会提供更多心理学专业的高端人才。</w:t>
      </w:r>
    </w:p>
    <w:p w14:paraId="1C5BE7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eastAsia" w:cs="宋体"/>
          <w:kern w:val="2"/>
          <w:sz w:val="21"/>
          <w:szCs w:val="21"/>
          <w:lang w:val="en-US" w:eastAsia="zh-CN" w:bidi="ar-SA"/>
        </w:rPr>
      </w:pPr>
    </w:p>
    <w:p w14:paraId="0382F86B">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培养目标：</w:t>
      </w:r>
    </w:p>
    <w:p w14:paraId="1EB22020">
      <w:pPr>
        <w:widowControl w:val="0"/>
        <w:numPr>
          <w:ilvl w:val="0"/>
          <w:numId w:val="0"/>
        </w:numPr>
        <w:jc w:val="both"/>
        <w:rPr>
          <w:rFonts w:hint="eastAsia" w:ascii="仿宋" w:hAnsi="仿宋" w:cs="仿宋"/>
          <w:b/>
          <w:bCs/>
          <w:color w:val="000000"/>
          <w:spacing w:val="1"/>
          <w:sz w:val="21"/>
          <w:szCs w:val="21"/>
          <w:lang w:val="en-US" w:eastAsia="zh-CN"/>
        </w:rPr>
      </w:pPr>
    </w:p>
    <w:p w14:paraId="4853EB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本专业主要掌握扎实的心理学基础理论和系统的专业知识，用科学的心理学知识，学习犯罪心理与行为矫治心理学相关专业知识，‌具有对人类心理与行为的深刻洞察力，‌能够将心理学理论、‌方法和技术应用于经济、‌社会、‌健康、‌管理等领域以解决实际问题，‌具备国际视野、‌创新精神和高度的社会责任感，培养具备扎实心理学基础理论和系统专业知识的高级应用心理专业人才。</w:t>
      </w:r>
    </w:p>
    <w:p w14:paraId="3462C4B0">
      <w:pPr>
        <w:widowControl w:val="0"/>
        <w:numPr>
          <w:ilvl w:val="0"/>
          <w:numId w:val="0"/>
        </w:numPr>
        <w:jc w:val="both"/>
        <w:rPr>
          <w:rFonts w:hint="default" w:ascii="仿宋" w:hAnsi="仿宋" w:cs="仿宋"/>
          <w:b/>
          <w:bCs/>
          <w:color w:val="000000"/>
          <w:spacing w:val="1"/>
          <w:sz w:val="21"/>
          <w:szCs w:val="21"/>
          <w:lang w:val="en-US" w:eastAsia="zh-CN"/>
        </w:rPr>
      </w:pPr>
    </w:p>
    <w:p w14:paraId="002B194C">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课程设置：</w:t>
      </w:r>
    </w:p>
    <w:p w14:paraId="1C7ABB97">
      <w:pPr>
        <w:widowControl w:val="0"/>
        <w:numPr>
          <w:ilvl w:val="0"/>
          <w:numId w:val="0"/>
        </w:numPr>
        <w:jc w:val="both"/>
        <w:rPr>
          <w:rFonts w:hint="eastAsia" w:ascii="仿宋" w:hAnsi="仿宋" w:cs="仿宋"/>
          <w:b/>
          <w:bCs/>
          <w:color w:val="000000"/>
          <w:spacing w:val="1"/>
          <w:sz w:val="21"/>
          <w:szCs w:val="21"/>
          <w:lang w:val="en-US" w:eastAsia="zh-CN"/>
        </w:rPr>
      </w:pPr>
    </w:p>
    <w:tbl>
      <w:tblPr>
        <w:tblStyle w:val="7"/>
        <w:tblW w:w="8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1"/>
        <w:gridCol w:w="4215"/>
        <w:gridCol w:w="2768"/>
      </w:tblGrid>
      <w:tr w14:paraId="775F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8604" w:type="dxa"/>
            <w:gridSpan w:val="3"/>
            <w:noWrap w:val="0"/>
            <w:vAlign w:val="top"/>
          </w:tcPr>
          <w:p w14:paraId="130C8A19">
            <w:pPr>
              <w:pStyle w:val="2"/>
              <w:widowControl/>
              <w:tabs>
                <w:tab w:val="left" w:pos="3366"/>
              </w:tabs>
              <w:spacing w:before="225" w:beforeAutospacing="0" w:after="75" w:afterAutospacing="0"/>
              <w:jc w:val="center"/>
              <w:rPr>
                <w:rFonts w:hint="default" w:cs="微软雅黑"/>
                <w:b w:val="0"/>
                <w:color w:val="000000"/>
                <w:sz w:val="21"/>
                <w:szCs w:val="21"/>
                <w:lang w:val="en-US" w:eastAsia="zh-CN" w:bidi="ar"/>
              </w:rPr>
            </w:pPr>
            <w:r>
              <w:rPr>
                <w:rFonts w:hint="eastAsia" w:cs="微软雅黑"/>
                <w:b/>
                <w:bCs/>
                <w:color w:val="000000"/>
                <w:sz w:val="21"/>
                <w:szCs w:val="21"/>
                <w:lang w:val="en-US" w:eastAsia="zh-CN" w:bidi="ar"/>
              </w:rPr>
              <w:t>犯罪心理与行为矫治专业课程</w:t>
            </w:r>
          </w:p>
        </w:tc>
      </w:tr>
      <w:tr w14:paraId="6A4A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21" w:type="dxa"/>
            <w:vMerge w:val="restart"/>
            <w:noWrap w:val="0"/>
            <w:vAlign w:val="center"/>
          </w:tcPr>
          <w:p w14:paraId="0C9A02D1">
            <w:pPr>
              <w:pStyle w:val="2"/>
              <w:widowControl/>
              <w:spacing w:before="225" w:beforeAutospacing="0" w:after="75" w:afterAutospacing="0"/>
              <w:jc w:val="center"/>
              <w:rPr>
                <w:rFonts w:hint="default" w:cs="微软雅黑"/>
                <w:b/>
                <w:bCs/>
                <w:color w:val="000000"/>
                <w:sz w:val="21"/>
                <w:szCs w:val="21"/>
                <w:lang w:val="en-US" w:eastAsia="zh-CN" w:bidi="ar"/>
              </w:rPr>
            </w:pPr>
            <w:r>
              <w:rPr>
                <w:rFonts w:hint="eastAsia" w:cs="微软雅黑"/>
                <w:b/>
                <w:bCs/>
                <w:color w:val="000000"/>
                <w:sz w:val="21"/>
                <w:szCs w:val="21"/>
                <w:lang w:val="en-US" w:eastAsia="zh-CN" w:bidi="ar"/>
              </w:rPr>
              <w:t>学位课</w:t>
            </w:r>
          </w:p>
        </w:tc>
        <w:tc>
          <w:tcPr>
            <w:tcW w:w="4215" w:type="dxa"/>
            <w:noWrap w:val="0"/>
            <w:vAlign w:val="top"/>
          </w:tcPr>
          <w:p w14:paraId="0FF8C88F">
            <w:pPr>
              <w:pStyle w:val="2"/>
              <w:widowControl/>
              <w:spacing w:before="225" w:beforeAutospacing="0" w:after="75" w:afterAutospacing="0"/>
              <w:jc w:val="center"/>
              <w:rPr>
                <w:rFonts w:ascii="宋体" w:hAnsi="宋体" w:eastAsia="宋体" w:cs="宋体"/>
                <w:b w:val="0"/>
                <w:kern w:val="0"/>
                <w:sz w:val="21"/>
                <w:szCs w:val="21"/>
                <w:lang w:val="en-US" w:eastAsia="zh-CN" w:bidi="ar-SA"/>
              </w:rPr>
            </w:pPr>
            <w:r>
              <w:rPr>
                <w:rFonts w:ascii="宋体" w:hAnsi="宋体" w:eastAsia="宋体" w:cs="宋体"/>
                <w:b w:val="0"/>
                <w:kern w:val="0"/>
                <w:sz w:val="21"/>
                <w:szCs w:val="21"/>
                <w:lang w:val="en-US" w:eastAsia="zh-CN" w:bidi="ar-SA"/>
              </w:rPr>
              <w:t>习近平新时代中国特色社会主义思想概论</w:t>
            </w:r>
          </w:p>
        </w:tc>
        <w:tc>
          <w:tcPr>
            <w:tcW w:w="2768" w:type="dxa"/>
            <w:noWrap w:val="0"/>
            <w:vAlign w:val="top"/>
          </w:tcPr>
          <w:p w14:paraId="0C7E2877">
            <w:pPr>
              <w:pStyle w:val="2"/>
              <w:widowControl/>
              <w:spacing w:before="225" w:beforeAutospacing="0" w:after="75" w:afterAutospacing="0"/>
              <w:jc w:val="center"/>
              <w:rPr>
                <w:rFonts w:cs="微软雅黑"/>
                <w:b w:val="0"/>
                <w:color w:val="000000"/>
                <w:sz w:val="21"/>
                <w:szCs w:val="21"/>
                <w:lang w:val="en-US" w:eastAsia="zh-CN" w:bidi="ar"/>
              </w:rPr>
            </w:pPr>
            <w:r>
              <w:rPr>
                <w:rFonts w:cs="微软雅黑"/>
                <w:b w:val="0"/>
                <w:color w:val="000000"/>
                <w:sz w:val="21"/>
                <w:szCs w:val="21"/>
                <w:lang w:val="en-US" w:eastAsia="zh-CN" w:bidi="ar"/>
              </w:rPr>
              <w:t>外国语</w:t>
            </w:r>
          </w:p>
        </w:tc>
      </w:tr>
      <w:tr w14:paraId="0F7A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621" w:type="dxa"/>
            <w:vMerge w:val="continue"/>
            <w:noWrap w:val="0"/>
            <w:vAlign w:val="top"/>
          </w:tcPr>
          <w:p w14:paraId="7D8A16D8">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4E669A21">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心理学理论与流派</w:t>
            </w:r>
          </w:p>
        </w:tc>
        <w:tc>
          <w:tcPr>
            <w:tcW w:w="2768" w:type="dxa"/>
            <w:noWrap w:val="0"/>
            <w:vAlign w:val="top"/>
          </w:tcPr>
          <w:p w14:paraId="6C1C430D">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心理学研究方法</w:t>
            </w:r>
          </w:p>
        </w:tc>
      </w:tr>
      <w:tr w14:paraId="5CFE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621" w:type="dxa"/>
            <w:vMerge w:val="continue"/>
            <w:noWrap w:val="0"/>
            <w:vAlign w:val="center"/>
          </w:tcPr>
          <w:p w14:paraId="5F376E9E">
            <w:pPr>
              <w:pStyle w:val="2"/>
              <w:widowControl/>
              <w:spacing w:before="225" w:beforeAutospacing="0" w:after="75" w:afterAutospacing="0"/>
              <w:jc w:val="center"/>
              <w:rPr>
                <w:rFonts w:hint="default" w:cs="微软雅黑"/>
                <w:b/>
                <w:bCs/>
                <w:color w:val="000000"/>
                <w:sz w:val="21"/>
                <w:szCs w:val="21"/>
                <w:lang w:val="en-US" w:eastAsia="zh-CN" w:bidi="ar"/>
              </w:rPr>
            </w:pPr>
          </w:p>
        </w:tc>
        <w:tc>
          <w:tcPr>
            <w:tcW w:w="4215" w:type="dxa"/>
            <w:noWrap w:val="0"/>
            <w:vAlign w:val="top"/>
          </w:tcPr>
          <w:p w14:paraId="2185EFE8">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心理测量与统计</w:t>
            </w:r>
          </w:p>
        </w:tc>
        <w:tc>
          <w:tcPr>
            <w:tcW w:w="2768" w:type="dxa"/>
            <w:noWrap w:val="0"/>
            <w:vAlign w:val="top"/>
          </w:tcPr>
          <w:p w14:paraId="427A88C3">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人格与社会心理学</w:t>
            </w:r>
          </w:p>
        </w:tc>
      </w:tr>
      <w:tr w14:paraId="7090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621" w:type="dxa"/>
            <w:vMerge w:val="restart"/>
            <w:noWrap w:val="0"/>
            <w:vAlign w:val="center"/>
          </w:tcPr>
          <w:p w14:paraId="2F19EA5A">
            <w:pPr>
              <w:pStyle w:val="2"/>
              <w:widowControl/>
              <w:spacing w:before="225" w:beforeAutospacing="0" w:after="75" w:afterAutospacing="0"/>
              <w:jc w:val="center"/>
              <w:rPr>
                <w:rFonts w:hint="default" w:cs="微软雅黑"/>
                <w:b/>
                <w:bCs/>
                <w:color w:val="000000"/>
                <w:sz w:val="21"/>
                <w:szCs w:val="21"/>
                <w:lang w:val="en-US" w:eastAsia="zh-CN" w:bidi="ar"/>
              </w:rPr>
            </w:pPr>
            <w:r>
              <w:rPr>
                <w:rFonts w:hint="eastAsia" w:cs="微软雅黑"/>
                <w:b/>
                <w:bCs/>
                <w:color w:val="000000"/>
                <w:sz w:val="21"/>
                <w:szCs w:val="21"/>
                <w:lang w:val="en-US" w:eastAsia="zh-CN" w:bidi="ar"/>
              </w:rPr>
              <w:t>专业课</w:t>
            </w:r>
          </w:p>
        </w:tc>
        <w:tc>
          <w:tcPr>
            <w:tcW w:w="4215" w:type="dxa"/>
            <w:noWrap w:val="0"/>
            <w:vAlign w:val="top"/>
          </w:tcPr>
          <w:p w14:paraId="5FDC51FB">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ascii="宋体" w:hAnsi="宋体" w:eastAsia="宋体" w:cs="宋体"/>
                <w:b w:val="0"/>
                <w:kern w:val="0"/>
                <w:sz w:val="21"/>
                <w:szCs w:val="21"/>
                <w:lang w:val="en-US" w:eastAsia="zh-CN" w:bidi="ar-SA"/>
              </w:rPr>
              <w:t>刑侦与审讯技术</w:t>
            </w:r>
          </w:p>
        </w:tc>
        <w:tc>
          <w:tcPr>
            <w:tcW w:w="2768" w:type="dxa"/>
            <w:noWrap w:val="0"/>
            <w:vAlign w:val="top"/>
          </w:tcPr>
          <w:p w14:paraId="2131E2E1">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ascii="宋体" w:hAnsi="宋体" w:eastAsia="宋体" w:cs="宋体"/>
                <w:b w:val="0"/>
                <w:kern w:val="0"/>
                <w:sz w:val="21"/>
                <w:szCs w:val="21"/>
                <w:lang w:val="en-US" w:eastAsia="zh-CN" w:bidi="ar-SA"/>
              </w:rPr>
              <w:t>犯罪心理学</w:t>
            </w:r>
          </w:p>
        </w:tc>
      </w:tr>
      <w:tr w14:paraId="10AB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621" w:type="dxa"/>
            <w:vMerge w:val="continue"/>
            <w:noWrap w:val="0"/>
            <w:vAlign w:val="top"/>
          </w:tcPr>
          <w:p w14:paraId="6158B44F">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66FA67A7">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ascii="宋体" w:hAnsi="宋体" w:eastAsia="宋体" w:cs="宋体"/>
                <w:b w:val="0"/>
                <w:kern w:val="0"/>
                <w:sz w:val="21"/>
                <w:szCs w:val="21"/>
                <w:lang w:val="en-US" w:eastAsia="zh-CN" w:bidi="ar-SA"/>
              </w:rPr>
              <w:t>犯罪心理矫治技术</w:t>
            </w:r>
          </w:p>
        </w:tc>
        <w:tc>
          <w:tcPr>
            <w:tcW w:w="2768" w:type="dxa"/>
            <w:noWrap w:val="0"/>
            <w:vAlign w:val="top"/>
          </w:tcPr>
          <w:p w14:paraId="7C580AAA">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ascii="宋体" w:hAnsi="宋体" w:eastAsia="宋体" w:cs="宋体"/>
                <w:b w:val="0"/>
                <w:kern w:val="0"/>
                <w:sz w:val="21"/>
                <w:szCs w:val="21"/>
                <w:lang w:val="en-US" w:eastAsia="zh-CN" w:bidi="ar-SA"/>
              </w:rPr>
              <w:t>成瘾行为心理学</w:t>
            </w:r>
          </w:p>
        </w:tc>
      </w:tr>
      <w:tr w14:paraId="7F4C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621" w:type="dxa"/>
            <w:vMerge w:val="continue"/>
            <w:noWrap w:val="0"/>
            <w:vAlign w:val="top"/>
          </w:tcPr>
          <w:p w14:paraId="30426E8D">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3A28EE20">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咨询心理学</w:t>
            </w:r>
          </w:p>
        </w:tc>
        <w:tc>
          <w:tcPr>
            <w:tcW w:w="2768" w:type="dxa"/>
            <w:noWrap w:val="0"/>
            <w:vAlign w:val="top"/>
          </w:tcPr>
          <w:p w14:paraId="512F88F8">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ascii="宋体" w:hAnsi="宋体" w:eastAsia="宋体" w:cs="宋体"/>
                <w:b w:val="0"/>
                <w:kern w:val="0"/>
                <w:sz w:val="21"/>
                <w:szCs w:val="21"/>
                <w:lang w:val="en-US" w:eastAsia="zh-CN" w:bidi="ar-SA"/>
              </w:rPr>
              <w:t>催眠技术</w:t>
            </w:r>
          </w:p>
        </w:tc>
      </w:tr>
      <w:tr w14:paraId="15E5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621" w:type="dxa"/>
            <w:vMerge w:val="continue"/>
            <w:noWrap w:val="0"/>
            <w:vAlign w:val="top"/>
          </w:tcPr>
          <w:p w14:paraId="584549FB">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404F6C7F">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发展心理学</w:t>
            </w:r>
          </w:p>
        </w:tc>
        <w:tc>
          <w:tcPr>
            <w:tcW w:w="2768" w:type="dxa"/>
            <w:noWrap w:val="0"/>
            <w:vAlign w:val="top"/>
          </w:tcPr>
          <w:p w14:paraId="030264A8">
            <w:pPr>
              <w:pStyle w:val="2"/>
              <w:widowControl/>
              <w:spacing w:before="225" w:beforeAutospacing="0" w:after="75" w:afterAutospacing="0"/>
              <w:jc w:val="center"/>
              <w:rPr>
                <w:rFonts w:hint="default" w:cs="微软雅黑"/>
                <w:b w:val="0"/>
                <w:bCs/>
                <w:color w:val="000000"/>
                <w:sz w:val="21"/>
                <w:szCs w:val="21"/>
                <w:lang w:val="en-US" w:eastAsia="zh-CN" w:bidi="ar"/>
              </w:rPr>
            </w:pPr>
            <w:r>
              <w:rPr>
                <w:rFonts w:hint="eastAsia"/>
                <w:b w:val="0"/>
                <w:bCs/>
                <w:sz w:val="21"/>
                <w:szCs w:val="21"/>
              </w:rPr>
              <w:t>法律心理学</w:t>
            </w:r>
          </w:p>
        </w:tc>
      </w:tr>
      <w:tr w14:paraId="75F6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center"/>
          </w:tcPr>
          <w:p w14:paraId="60BA740B">
            <w:pPr>
              <w:pStyle w:val="2"/>
              <w:widowControl/>
              <w:spacing w:before="225" w:beforeAutospacing="0" w:after="75" w:afterAutospacing="0"/>
              <w:jc w:val="center"/>
              <w:rPr>
                <w:rFonts w:hint="default" w:cs="微软雅黑"/>
                <w:b/>
                <w:bCs/>
                <w:color w:val="000000"/>
                <w:sz w:val="21"/>
                <w:szCs w:val="21"/>
                <w:lang w:val="en-US" w:eastAsia="zh-CN" w:bidi="ar"/>
              </w:rPr>
            </w:pPr>
          </w:p>
        </w:tc>
        <w:tc>
          <w:tcPr>
            <w:tcW w:w="4215" w:type="dxa"/>
            <w:noWrap w:val="0"/>
            <w:vAlign w:val="top"/>
          </w:tcPr>
          <w:p w14:paraId="6A90E626">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心理学史</w:t>
            </w:r>
          </w:p>
        </w:tc>
        <w:tc>
          <w:tcPr>
            <w:tcW w:w="2768" w:type="dxa"/>
            <w:noWrap w:val="0"/>
            <w:vAlign w:val="top"/>
          </w:tcPr>
          <w:p w14:paraId="45EC638C">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生理心理学</w:t>
            </w:r>
          </w:p>
        </w:tc>
      </w:tr>
      <w:tr w14:paraId="562E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2114E32A">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46E7647A">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变态心理学</w:t>
            </w:r>
          </w:p>
        </w:tc>
        <w:tc>
          <w:tcPr>
            <w:tcW w:w="2768" w:type="dxa"/>
            <w:noWrap w:val="0"/>
            <w:vAlign w:val="top"/>
          </w:tcPr>
          <w:p w14:paraId="234998B0">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管理心理学</w:t>
            </w:r>
          </w:p>
        </w:tc>
      </w:tr>
      <w:tr w14:paraId="7100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08BD8872">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1E8389C0">
            <w:pPr>
              <w:pStyle w:val="2"/>
              <w:widowControl/>
              <w:spacing w:before="225" w:beforeAutospacing="0" w:after="75" w:afterAutospacing="0"/>
              <w:jc w:val="center"/>
              <w:rPr>
                <w:rFonts w:hint="eastAsia"/>
                <w:b w:val="0"/>
                <w:bCs/>
                <w:sz w:val="21"/>
                <w:szCs w:val="21"/>
              </w:rPr>
            </w:pPr>
            <w:r>
              <w:rPr>
                <w:rFonts w:hint="eastAsia"/>
                <w:b w:val="0"/>
                <w:bCs/>
                <w:sz w:val="21"/>
                <w:szCs w:val="21"/>
              </w:rPr>
              <w:t>认知心理学</w:t>
            </w:r>
          </w:p>
        </w:tc>
        <w:tc>
          <w:tcPr>
            <w:tcW w:w="2768" w:type="dxa"/>
            <w:noWrap w:val="0"/>
            <w:vAlign w:val="top"/>
          </w:tcPr>
          <w:p w14:paraId="7725BF94">
            <w:pPr>
              <w:pStyle w:val="2"/>
              <w:widowControl/>
              <w:spacing w:before="225" w:beforeAutospacing="0" w:after="75" w:afterAutospacing="0"/>
              <w:jc w:val="center"/>
              <w:rPr>
                <w:rFonts w:hint="eastAsia"/>
                <w:b w:val="0"/>
                <w:bCs/>
                <w:sz w:val="21"/>
                <w:szCs w:val="21"/>
              </w:rPr>
            </w:pPr>
            <w:r>
              <w:rPr>
                <w:rFonts w:hint="eastAsia"/>
                <w:b w:val="0"/>
                <w:bCs/>
                <w:sz w:val="21"/>
                <w:szCs w:val="21"/>
              </w:rPr>
              <w:t>心理健康</w:t>
            </w:r>
          </w:p>
        </w:tc>
      </w:tr>
      <w:tr w14:paraId="6D49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restart"/>
            <w:noWrap w:val="0"/>
            <w:vAlign w:val="center"/>
          </w:tcPr>
          <w:p w14:paraId="487A9E99">
            <w:pPr>
              <w:pStyle w:val="2"/>
              <w:widowControl/>
              <w:spacing w:before="225" w:beforeAutospacing="0" w:after="75" w:afterAutospacing="0"/>
              <w:jc w:val="center"/>
              <w:rPr>
                <w:rFonts w:hint="default" w:cs="微软雅黑"/>
                <w:b/>
                <w:bCs/>
                <w:color w:val="000000"/>
                <w:sz w:val="21"/>
                <w:szCs w:val="21"/>
                <w:lang w:val="en-US" w:eastAsia="zh-CN" w:bidi="ar"/>
              </w:rPr>
            </w:pPr>
            <w:r>
              <w:rPr>
                <w:rFonts w:hint="eastAsia" w:cs="微软雅黑"/>
                <w:b/>
                <w:bCs/>
                <w:color w:val="000000"/>
                <w:sz w:val="21"/>
                <w:szCs w:val="21"/>
                <w:lang w:val="en-US" w:eastAsia="zh-CN" w:bidi="ar"/>
              </w:rPr>
              <w:t>选修课</w:t>
            </w:r>
          </w:p>
        </w:tc>
        <w:tc>
          <w:tcPr>
            <w:tcW w:w="4215" w:type="dxa"/>
            <w:noWrap w:val="0"/>
            <w:vAlign w:val="center"/>
          </w:tcPr>
          <w:p w14:paraId="46931190">
            <w:pPr>
              <w:pStyle w:val="6"/>
              <w:spacing w:line="500" w:lineRule="exact"/>
              <w:contextualSpacing/>
              <w:jc w:val="center"/>
              <w:rPr>
                <w:rFonts w:hint="eastAsia"/>
                <w:b w:val="0"/>
                <w:bCs/>
                <w:sz w:val="21"/>
                <w:szCs w:val="21"/>
              </w:rPr>
            </w:pPr>
            <w:r>
              <w:rPr>
                <w:rFonts w:hint="eastAsia"/>
                <w:b w:val="0"/>
                <w:bCs/>
                <w:sz w:val="21"/>
                <w:szCs w:val="21"/>
              </w:rPr>
              <w:t>谈心谈话流程与应用技术</w:t>
            </w:r>
          </w:p>
        </w:tc>
        <w:tc>
          <w:tcPr>
            <w:tcW w:w="2768" w:type="dxa"/>
            <w:noWrap w:val="0"/>
            <w:vAlign w:val="center"/>
          </w:tcPr>
          <w:p w14:paraId="05EB391D">
            <w:pPr>
              <w:pStyle w:val="2"/>
              <w:widowControl/>
              <w:spacing w:before="225" w:beforeAutospacing="0" w:after="75" w:afterAutospacing="0"/>
              <w:jc w:val="center"/>
              <w:rPr>
                <w:rFonts w:hint="default" w:eastAsiaTheme="minorEastAsia"/>
                <w:b w:val="0"/>
                <w:bCs/>
                <w:sz w:val="21"/>
                <w:szCs w:val="21"/>
                <w:lang w:val="en-US" w:eastAsia="zh-CN"/>
              </w:rPr>
            </w:pPr>
            <w:r>
              <w:rPr>
                <w:rFonts w:hint="eastAsia"/>
                <w:b w:val="0"/>
                <w:bCs/>
                <w:sz w:val="21"/>
                <w:szCs w:val="21"/>
                <w:lang w:val="en-US" w:eastAsia="zh-CN"/>
              </w:rPr>
              <w:t>成瘾矫治</w:t>
            </w:r>
          </w:p>
        </w:tc>
      </w:tr>
      <w:tr w14:paraId="7934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5D1A56F2">
            <w:pPr>
              <w:pStyle w:val="2"/>
              <w:widowControl/>
              <w:spacing w:before="225" w:beforeAutospacing="0" w:after="75" w:afterAutospacing="0"/>
              <w:jc w:val="center"/>
              <w:rPr>
                <w:rFonts w:hint="eastAsia" w:ascii="宋体" w:hAnsi="宋体" w:eastAsia="宋体" w:cs="宋体"/>
                <w:b w:val="0"/>
                <w:kern w:val="0"/>
                <w:sz w:val="21"/>
                <w:szCs w:val="21"/>
                <w:lang w:val="en-US" w:eastAsia="zh-CN" w:bidi="ar-SA"/>
              </w:rPr>
            </w:pPr>
          </w:p>
        </w:tc>
        <w:tc>
          <w:tcPr>
            <w:tcW w:w="4215" w:type="dxa"/>
            <w:noWrap w:val="0"/>
            <w:vAlign w:val="center"/>
          </w:tcPr>
          <w:p w14:paraId="5E49990F">
            <w:pPr>
              <w:spacing w:before="40" w:line="190" w:lineRule="auto"/>
              <w:ind w:left="428"/>
              <w:jc w:val="center"/>
              <w:rPr>
                <w:rFonts w:hint="eastAsia" w:ascii="宋体" w:hAnsi="宋体" w:eastAsia="宋体" w:cs="宋体"/>
                <w:b w:val="0"/>
                <w:kern w:val="0"/>
                <w:sz w:val="21"/>
                <w:szCs w:val="21"/>
                <w:lang w:val="en-US" w:eastAsia="zh-CN" w:bidi="ar-SA"/>
              </w:rPr>
            </w:pPr>
            <w:r>
              <w:rPr>
                <w:rFonts w:hint="eastAsia" w:ascii="宋体" w:hAnsi="宋体" w:eastAsia="宋体" w:cs="宋体"/>
                <w:b w:val="0"/>
                <w:kern w:val="0"/>
                <w:sz w:val="21"/>
                <w:szCs w:val="21"/>
                <w:lang w:val="en-US" w:eastAsia="zh-CN" w:bidi="ar-SA"/>
              </w:rPr>
              <w:t>危机干预与自杀防治</w:t>
            </w:r>
          </w:p>
        </w:tc>
        <w:tc>
          <w:tcPr>
            <w:tcW w:w="2768" w:type="dxa"/>
            <w:noWrap w:val="0"/>
            <w:vAlign w:val="center"/>
          </w:tcPr>
          <w:p w14:paraId="1065C9D5">
            <w:pPr>
              <w:spacing w:before="89" w:line="189" w:lineRule="auto"/>
              <w:ind w:left="497" w:firstLine="420" w:firstLineChars="200"/>
              <w:jc w:val="both"/>
              <w:rPr>
                <w:rFonts w:hint="default" w:ascii="宋体" w:hAnsi="宋体" w:eastAsiaTheme="minorEastAsia" w:cstheme="minorBidi"/>
                <w:b w:val="0"/>
                <w:bCs/>
                <w:kern w:val="0"/>
                <w:sz w:val="21"/>
                <w:szCs w:val="21"/>
                <w:lang w:val="en-US" w:eastAsia="zh-CN" w:bidi="ar-SA"/>
              </w:rPr>
            </w:pPr>
            <w:r>
              <w:rPr>
                <w:rFonts w:hint="eastAsia" w:ascii="宋体" w:hAnsi="宋体" w:cstheme="minorBidi"/>
                <w:b w:val="0"/>
                <w:bCs/>
                <w:kern w:val="0"/>
                <w:sz w:val="21"/>
                <w:szCs w:val="21"/>
                <w:lang w:val="en-US" w:eastAsia="zh-CN" w:bidi="ar-SA"/>
              </w:rPr>
              <w:t>积极心理学</w:t>
            </w:r>
          </w:p>
        </w:tc>
      </w:tr>
    </w:tbl>
    <w:p w14:paraId="4930F545">
      <w:pPr>
        <w:pStyle w:val="6"/>
        <w:spacing w:line="500" w:lineRule="exact"/>
        <w:contextualSpacing/>
        <w:jc w:val="center"/>
        <w:rPr>
          <w:rFonts w:hint="eastAsia" w:cs="宋体"/>
          <w:b w:val="0"/>
          <w:kern w:val="0"/>
          <w:sz w:val="21"/>
          <w:szCs w:val="21"/>
          <w:lang w:val="en-US" w:eastAsia="zh-CN" w:bidi="ar-SA"/>
        </w:rPr>
      </w:pPr>
      <w:r>
        <w:rPr>
          <w:rFonts w:hint="eastAsia" w:cs="宋体"/>
          <w:b w:val="0"/>
          <w:kern w:val="0"/>
          <w:sz w:val="21"/>
          <w:szCs w:val="21"/>
          <w:lang w:val="en-US" w:eastAsia="zh-CN" w:bidi="ar-SA"/>
        </w:rPr>
        <w:t xml:space="preserve"> 注： 学校根据实际情况调整课程安排</w:t>
      </w:r>
    </w:p>
    <w:p w14:paraId="3A380E07">
      <w:pPr>
        <w:widowControl w:val="0"/>
        <w:numPr>
          <w:ilvl w:val="0"/>
          <w:numId w:val="0"/>
        </w:numPr>
        <w:jc w:val="both"/>
        <w:rPr>
          <w:rFonts w:hint="eastAsia" w:ascii="仿宋" w:hAnsi="仿宋" w:cs="仿宋"/>
          <w:b/>
          <w:bCs/>
          <w:color w:val="000000"/>
          <w:spacing w:val="1"/>
          <w:sz w:val="21"/>
          <w:szCs w:val="21"/>
          <w:lang w:val="en-US" w:eastAsia="zh-CN"/>
        </w:rPr>
      </w:pPr>
    </w:p>
    <w:p w14:paraId="33EDEB91">
      <w:pPr>
        <w:widowControl w:val="0"/>
        <w:numPr>
          <w:ilvl w:val="0"/>
          <w:numId w:val="0"/>
        </w:numPr>
        <w:jc w:val="both"/>
        <w:rPr>
          <w:rFonts w:hint="default" w:ascii="仿宋" w:hAnsi="仿宋" w:cs="仿宋"/>
          <w:b/>
          <w:bCs/>
          <w:color w:val="000000"/>
          <w:spacing w:val="1"/>
          <w:sz w:val="21"/>
          <w:szCs w:val="21"/>
          <w:lang w:val="en-US" w:eastAsia="zh-CN"/>
        </w:rPr>
      </w:pPr>
    </w:p>
    <w:p w14:paraId="18C0D349">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报名条件：</w:t>
      </w:r>
    </w:p>
    <w:p w14:paraId="431F0F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1、拥护《中华人民共和国宪法》， 遵纪守法， 品行端正， 身体健康。</w:t>
      </w:r>
    </w:p>
    <w:p w14:paraId="2B9F6B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2、具有大专以上学历者。申请硕士学位者需具有本科学士学位。</w:t>
      </w:r>
    </w:p>
    <w:p w14:paraId="5AF0AA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p>
    <w:p w14:paraId="1E0FB7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0"/>
        <w:jc w:val="both"/>
        <w:textAlignment w:val="auto"/>
        <w:rPr>
          <w:rFonts w:hint="eastAsia"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申硕条件：</w:t>
      </w:r>
    </w:p>
    <w:p w14:paraId="335260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1、申请人必须是已获学士学位并工作三年以上，或已获硕士、博士学位。</w:t>
      </w:r>
    </w:p>
    <w:p w14:paraId="27E4B7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2、申请人在申请学位的专业或相近专业领域的公开出版物发表过科研成果。</w:t>
      </w:r>
    </w:p>
    <w:p w14:paraId="578519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3、通过全国统一的同等学力人员申请硕士学位的外语考试和心理学综合考试。</w:t>
      </w:r>
    </w:p>
    <w:p w14:paraId="35B1BD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4、通过中国政法大学组织的同等学力人员申请硕士学位的学位课程考试。</w:t>
      </w:r>
    </w:p>
    <w:p w14:paraId="1FA5D2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5、资格审查合格后，申请人必须在五年内(资审通过之日起算)通过上述学位课考试与国家统考。</w:t>
      </w:r>
    </w:p>
    <w:p w14:paraId="48BBFC68">
      <w:pPr>
        <w:widowControl w:val="0"/>
        <w:numPr>
          <w:ilvl w:val="0"/>
          <w:numId w:val="0"/>
        </w:numPr>
        <w:jc w:val="both"/>
        <w:rPr>
          <w:rFonts w:hint="eastAsia" w:ascii="仿宋" w:hAnsi="仿宋" w:cs="仿宋"/>
          <w:b/>
          <w:bCs/>
          <w:color w:val="000000"/>
          <w:spacing w:val="1"/>
          <w:sz w:val="21"/>
          <w:szCs w:val="21"/>
          <w:lang w:val="en-US" w:eastAsia="zh-CN"/>
        </w:rPr>
      </w:pPr>
    </w:p>
    <w:p w14:paraId="2313BAD0">
      <w:pPr>
        <w:widowControl w:val="0"/>
        <w:numPr>
          <w:ilvl w:val="0"/>
          <w:numId w:val="0"/>
        </w:numPr>
        <w:jc w:val="both"/>
        <w:rPr>
          <w:rFonts w:hint="default" w:ascii="仿宋" w:hAnsi="仿宋" w:cs="仿宋"/>
          <w:b/>
          <w:bCs/>
          <w:color w:val="000000"/>
          <w:spacing w:val="1"/>
          <w:sz w:val="21"/>
          <w:szCs w:val="21"/>
          <w:lang w:val="en-US" w:eastAsia="zh-CN"/>
        </w:rPr>
      </w:pPr>
    </w:p>
    <w:p w14:paraId="0E3A284A">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报名材料：</w:t>
      </w:r>
    </w:p>
    <w:p w14:paraId="7A832D24">
      <w:pPr>
        <w:widowControl w:val="0"/>
        <w:numPr>
          <w:ilvl w:val="0"/>
          <w:numId w:val="0"/>
        </w:numPr>
        <w:jc w:val="both"/>
        <w:rPr>
          <w:rFonts w:hint="eastAsia" w:ascii="仿宋" w:hAnsi="仿宋" w:cs="仿宋"/>
          <w:b/>
          <w:bCs/>
          <w:color w:val="000000"/>
          <w:spacing w:val="1"/>
          <w:sz w:val="21"/>
          <w:szCs w:val="21"/>
          <w:lang w:val="en-US" w:eastAsia="zh-CN"/>
        </w:rPr>
      </w:pPr>
    </w:p>
    <w:p w14:paraId="6BFFD0A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报名表、身份证、最高学历和学位证复印件各1份，</w:t>
      </w:r>
    </w:p>
    <w:p w14:paraId="484BF20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 xml:space="preserve"> 1 寸和2寸近期免冠蓝底照片各2张。 </w:t>
      </w:r>
    </w:p>
    <w:p w14:paraId="4C1155D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重要知会： 交付学校审核的学历证书、学位证书、身份证等必须真实有效， 若因证书不真实造成后果，一切责任由本人自负。</w:t>
      </w:r>
    </w:p>
    <w:p w14:paraId="53A76A4A">
      <w:pPr>
        <w:widowControl w:val="0"/>
        <w:numPr>
          <w:ilvl w:val="0"/>
          <w:numId w:val="0"/>
        </w:numPr>
        <w:jc w:val="both"/>
        <w:rPr>
          <w:rFonts w:hint="eastAsia" w:ascii="仿宋" w:hAnsi="仿宋" w:cs="仿宋"/>
          <w:b/>
          <w:bCs/>
          <w:color w:val="000000"/>
          <w:spacing w:val="1"/>
          <w:sz w:val="21"/>
          <w:szCs w:val="21"/>
          <w:lang w:val="en-US" w:eastAsia="zh-CN"/>
        </w:rPr>
      </w:pPr>
    </w:p>
    <w:p w14:paraId="7CC4F44C">
      <w:pPr>
        <w:widowControl w:val="0"/>
        <w:numPr>
          <w:ilvl w:val="0"/>
          <w:numId w:val="0"/>
        </w:numPr>
        <w:jc w:val="both"/>
        <w:rPr>
          <w:rFonts w:hint="eastAsia" w:ascii="仿宋" w:hAnsi="仿宋" w:cs="仿宋"/>
          <w:b/>
          <w:bCs/>
          <w:color w:val="000000"/>
          <w:spacing w:val="1"/>
          <w:sz w:val="21"/>
          <w:szCs w:val="21"/>
          <w:lang w:val="en-US" w:eastAsia="zh-CN"/>
        </w:rPr>
      </w:pPr>
    </w:p>
    <w:p w14:paraId="3D2857A6">
      <w:pPr>
        <w:widowControl w:val="0"/>
        <w:numPr>
          <w:ilvl w:val="0"/>
          <w:numId w:val="0"/>
        </w:numPr>
        <w:jc w:val="both"/>
        <w:rPr>
          <w:rFonts w:hint="default" w:ascii="仿宋" w:hAnsi="仿宋" w:cs="仿宋"/>
          <w:b/>
          <w:bCs/>
          <w:color w:val="000000"/>
          <w:spacing w:val="1"/>
          <w:sz w:val="21"/>
          <w:szCs w:val="21"/>
          <w:lang w:val="en-US" w:eastAsia="zh-CN"/>
        </w:rPr>
      </w:pPr>
    </w:p>
    <w:p w14:paraId="1F5032C5">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培养方式：</w:t>
      </w:r>
    </w:p>
    <w:p w14:paraId="0C3082DD">
      <w:pPr>
        <w:pStyle w:val="3"/>
        <w:spacing w:before="110" w:line="221" w:lineRule="auto"/>
        <w:ind w:left="475"/>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1、学制：2年。</w:t>
      </w:r>
    </w:p>
    <w:p w14:paraId="1B0E5D28">
      <w:pPr>
        <w:pStyle w:val="3"/>
        <w:spacing w:before="96" w:line="221" w:lineRule="auto"/>
        <w:ind w:left="475"/>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2、教学方式：采用面授与网络课堂相结合的教学方式。</w:t>
      </w:r>
    </w:p>
    <w:p w14:paraId="0CDEE747">
      <w:pPr>
        <w:widowControl w:val="0"/>
        <w:numPr>
          <w:ilvl w:val="0"/>
          <w:numId w:val="0"/>
        </w:numPr>
        <w:jc w:val="both"/>
        <w:rPr>
          <w:rFonts w:hint="default" w:ascii="仿宋" w:hAnsi="仿宋" w:cs="仿宋"/>
          <w:b/>
          <w:bCs/>
          <w:color w:val="000000"/>
          <w:spacing w:val="1"/>
          <w:sz w:val="21"/>
          <w:szCs w:val="21"/>
          <w:lang w:val="en-US" w:eastAsia="zh-CN"/>
        </w:rPr>
      </w:pPr>
    </w:p>
    <w:p w14:paraId="5DF6DAF6">
      <w:pPr>
        <w:widowControl w:val="0"/>
        <w:numPr>
          <w:ilvl w:val="0"/>
          <w:numId w:val="0"/>
        </w:numPr>
        <w:jc w:val="both"/>
        <w:rPr>
          <w:rFonts w:hint="default" w:ascii="仿宋" w:hAnsi="仿宋" w:cs="仿宋"/>
          <w:b/>
          <w:bCs/>
          <w:color w:val="000000"/>
          <w:spacing w:val="1"/>
          <w:sz w:val="21"/>
          <w:szCs w:val="21"/>
          <w:lang w:val="en-US" w:eastAsia="zh-CN"/>
        </w:rPr>
      </w:pPr>
    </w:p>
    <w:p w14:paraId="7173E9C5">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收费标准：</w:t>
      </w:r>
    </w:p>
    <w:p w14:paraId="392CD4D3">
      <w:pPr>
        <w:widowControl w:val="0"/>
        <w:numPr>
          <w:ilvl w:val="0"/>
          <w:numId w:val="0"/>
        </w:numPr>
        <w:jc w:val="both"/>
        <w:rPr>
          <w:rFonts w:hint="eastAsia" w:ascii="仿宋" w:hAnsi="仿宋" w:cs="仿宋"/>
          <w:b/>
          <w:bCs/>
          <w:color w:val="000000"/>
          <w:spacing w:val="1"/>
          <w:sz w:val="21"/>
          <w:szCs w:val="21"/>
          <w:lang w:val="en-US" w:eastAsia="zh-CN"/>
        </w:rPr>
      </w:pPr>
    </w:p>
    <w:p w14:paraId="1EA4F8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0"/>
        <w:jc w:val="both"/>
        <w:textAlignment w:val="auto"/>
        <w:rPr>
          <w:rFonts w:hint="eastAsia" w:ascii="仿宋" w:hAnsi="仿宋" w:cs="仿宋"/>
          <w:b/>
          <w:bCs/>
          <w:color w:val="000000"/>
          <w:spacing w:val="1"/>
          <w:sz w:val="21"/>
          <w:szCs w:val="21"/>
          <w:lang w:val="en-US" w:eastAsia="zh-CN"/>
        </w:rPr>
      </w:pPr>
    </w:p>
    <w:p w14:paraId="7ABE3C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0"/>
        <w:jc w:val="both"/>
        <w:textAlignment w:val="auto"/>
        <w:rPr>
          <w:rFonts w:hint="eastAsia" w:ascii="仿宋" w:hAnsi="仿宋" w:cs="仿宋"/>
          <w:b/>
          <w:bCs/>
          <w:color w:val="000000"/>
          <w:spacing w:val="1"/>
          <w:sz w:val="21"/>
          <w:szCs w:val="21"/>
          <w:lang w:val="en-US" w:eastAsia="zh-CN"/>
        </w:rPr>
      </w:pPr>
    </w:p>
    <w:p w14:paraId="5126AD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0"/>
        <w:jc w:val="both"/>
        <w:textAlignment w:val="auto"/>
        <w:rPr>
          <w:rFonts w:hint="eastAsia" w:ascii="仿宋" w:hAnsi="仿宋" w:cs="仿宋"/>
          <w:b/>
          <w:bCs/>
          <w:color w:val="000000"/>
          <w:spacing w:val="1"/>
          <w:sz w:val="21"/>
          <w:szCs w:val="21"/>
          <w:lang w:val="en-US" w:eastAsia="zh-CN"/>
        </w:rPr>
      </w:pPr>
    </w:p>
    <w:p w14:paraId="36844C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0"/>
        <w:jc w:val="both"/>
        <w:textAlignment w:val="auto"/>
        <w:rPr>
          <w:rFonts w:hint="default" w:asciiTheme="minorEastAsia" w:hAnsiTheme="minorEastAsia" w:cstheme="minorEastAsia"/>
          <w:b w:val="0"/>
          <w:bCs w:val="0"/>
          <w:sz w:val="21"/>
          <w:szCs w:val="21"/>
          <w:lang w:val="en-US" w:eastAsia="zh-CN"/>
        </w:rPr>
      </w:pPr>
      <w:bookmarkStart w:id="0" w:name="_GoBack"/>
      <w:bookmarkEnd w:id="0"/>
      <w:r>
        <w:rPr>
          <w:rFonts w:hint="eastAsia" w:ascii="仿宋" w:hAnsi="仿宋" w:cs="仿宋"/>
          <w:b/>
          <w:bCs/>
          <w:color w:val="000000"/>
          <w:spacing w:val="1"/>
          <w:sz w:val="21"/>
          <w:szCs w:val="21"/>
          <w:lang w:val="en-US" w:eastAsia="zh-CN"/>
        </w:rPr>
        <w:t xml:space="preserve"> </w:t>
      </w:r>
    </w:p>
    <w:tbl>
      <w:tblPr>
        <w:tblStyle w:val="7"/>
        <w:tblW w:w="4998" w:type="pct"/>
        <w:tblInd w:w="0" w:type="dxa"/>
        <w:shd w:val="clear" w:color="auto" w:fill="FFFFFF"/>
        <w:tblLayout w:type="autofit"/>
        <w:tblCellMar>
          <w:top w:w="0" w:type="dxa"/>
          <w:left w:w="0" w:type="dxa"/>
          <w:bottom w:w="0" w:type="dxa"/>
          <w:right w:w="0" w:type="dxa"/>
        </w:tblCellMar>
      </w:tblPr>
      <w:tblGrid>
        <w:gridCol w:w="1281"/>
        <w:gridCol w:w="2678"/>
        <w:gridCol w:w="1281"/>
        <w:gridCol w:w="3081"/>
      </w:tblGrid>
      <w:tr w14:paraId="0C598EA1">
        <w:tblPrEx>
          <w:shd w:val="clear" w:color="auto" w:fill="FFFFFF"/>
          <w:tblCellMar>
            <w:top w:w="0" w:type="dxa"/>
            <w:left w:w="0" w:type="dxa"/>
            <w:bottom w:w="0" w:type="dxa"/>
            <w:right w:w="0" w:type="dxa"/>
          </w:tblCellMar>
        </w:tblPrEx>
        <w:trPr>
          <w:trHeight w:val="459" w:hRule="atLeast"/>
        </w:trPr>
        <w:tc>
          <w:tcPr>
            <w:tcW w:w="770"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0ED49BD3">
            <w:pPr>
              <w:jc w:val="center"/>
            </w:pPr>
            <w:r>
              <w:rPr>
                <w:rStyle w:val="9"/>
                <w:rFonts w:hint="eastAsia"/>
                <w:color w:val="555555"/>
                <w:sz w:val="18"/>
                <w:szCs w:val="21"/>
              </w:rPr>
              <w:t>阶段</w:t>
            </w:r>
          </w:p>
        </w:tc>
        <w:tc>
          <w:tcPr>
            <w:tcW w:w="1609"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33FDC528">
            <w:pPr>
              <w:jc w:val="center"/>
            </w:pPr>
            <w:r>
              <w:rPr>
                <w:rStyle w:val="9"/>
                <w:rFonts w:hint="eastAsia"/>
                <w:color w:val="555555"/>
                <w:sz w:val="18"/>
                <w:szCs w:val="21"/>
              </w:rPr>
              <w:t>缴费时间</w:t>
            </w:r>
          </w:p>
        </w:tc>
        <w:tc>
          <w:tcPr>
            <w:tcW w:w="770"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00EDBD31">
            <w:pPr>
              <w:jc w:val="center"/>
            </w:pPr>
            <w:r>
              <w:rPr>
                <w:rStyle w:val="9"/>
                <w:rFonts w:hint="eastAsia"/>
                <w:color w:val="555555"/>
                <w:sz w:val="18"/>
                <w:szCs w:val="21"/>
              </w:rPr>
              <w:t>缴费金额</w:t>
            </w:r>
          </w:p>
        </w:tc>
        <w:tc>
          <w:tcPr>
            <w:tcW w:w="1849"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25082A3A">
            <w:pPr>
              <w:jc w:val="center"/>
            </w:pPr>
            <w:r>
              <w:rPr>
                <w:rStyle w:val="9"/>
                <w:rFonts w:hint="eastAsia"/>
                <w:color w:val="555555"/>
                <w:sz w:val="18"/>
                <w:szCs w:val="21"/>
              </w:rPr>
              <w:t>缴费方式</w:t>
            </w:r>
          </w:p>
        </w:tc>
      </w:tr>
      <w:tr w14:paraId="7F0CC00F">
        <w:tblPrEx>
          <w:tblCellMar>
            <w:top w:w="0" w:type="dxa"/>
            <w:left w:w="0" w:type="dxa"/>
            <w:bottom w:w="0" w:type="dxa"/>
            <w:right w:w="0" w:type="dxa"/>
          </w:tblCellMar>
        </w:tblPrEx>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138AA998">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第一学年</w:t>
            </w:r>
          </w:p>
        </w:tc>
        <w:tc>
          <w:tcPr>
            <w:tcW w:w="1609"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2FE7329F">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报名成功后缴纳</w:t>
            </w:r>
          </w:p>
        </w:tc>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1E051015">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25000元</w:t>
            </w:r>
          </w:p>
        </w:tc>
        <w:tc>
          <w:tcPr>
            <w:tcW w:w="1849" w:type="pct"/>
            <w:vMerge w:val="restar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3E4B6CE">
            <w:pPr>
              <w:spacing w:line="360" w:lineRule="auto"/>
              <w:jc w:val="center"/>
              <w:rPr>
                <w:color w:val="404040" w:themeColor="text1" w:themeTint="BF"/>
                <w:sz w:val="21"/>
                <w:szCs w:val="21"/>
                <w:lang w:val="en-US"/>
                <w14:textFill>
                  <w14:solidFill>
                    <w14:schemeClr w14:val="tx1">
                      <w14:lumMod w14:val="75000"/>
                      <w14:lumOff w14:val="25000"/>
                    </w14:schemeClr>
                  </w14:solidFill>
                </w14:textFill>
              </w:rPr>
            </w:pPr>
            <w:r>
              <w:rPr>
                <w:rFonts w:hint="eastAsia"/>
                <w:color w:val="404040" w:themeColor="text1" w:themeTint="BF"/>
                <w:sz w:val="21"/>
                <w:szCs w:val="21"/>
                <w:lang w:val="en-US"/>
                <w14:textFill>
                  <w14:solidFill>
                    <w14:schemeClr w14:val="tx1">
                      <w14:lumMod w14:val="75000"/>
                      <w14:lumOff w14:val="25000"/>
                    </w14:schemeClr>
                  </w14:solidFill>
                </w14:textFill>
              </w:rPr>
              <w:t>中国政法大学校园统一支付平台</w:t>
            </w:r>
          </w:p>
        </w:tc>
      </w:tr>
      <w:tr w14:paraId="61585434">
        <w:tblPrEx>
          <w:shd w:val="clear" w:color="auto" w:fill="FFFFFF"/>
          <w:tblCellMar>
            <w:top w:w="0" w:type="dxa"/>
            <w:left w:w="0" w:type="dxa"/>
            <w:bottom w:w="0" w:type="dxa"/>
            <w:right w:w="0" w:type="dxa"/>
          </w:tblCellMar>
        </w:tblPrEx>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3213EC3A">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第二学年</w:t>
            </w:r>
          </w:p>
        </w:tc>
        <w:tc>
          <w:tcPr>
            <w:tcW w:w="1609"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7BFEBCC7">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第二学年开学后两周内缴纳</w:t>
            </w:r>
          </w:p>
        </w:tc>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6D028DB">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20000元</w:t>
            </w:r>
          </w:p>
        </w:tc>
        <w:tc>
          <w:tcPr>
            <w:tcW w:w="1849" w:type="pct"/>
            <w:vMerge w:val="continue"/>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01D6862">
            <w:pPr>
              <w:spacing w:line="360" w:lineRule="auto"/>
              <w:jc w:val="center"/>
              <w:rPr>
                <w:color w:val="404040" w:themeColor="text1" w:themeTint="BF"/>
                <w:sz w:val="21"/>
                <w:szCs w:val="21"/>
                <w:lang w:val="en-US"/>
                <w14:textFill>
                  <w14:solidFill>
                    <w14:schemeClr w14:val="tx1">
                      <w14:lumMod w14:val="75000"/>
                      <w14:lumOff w14:val="25000"/>
                    </w14:schemeClr>
                  </w14:solidFill>
                </w14:textFill>
              </w:rPr>
            </w:pPr>
          </w:p>
        </w:tc>
      </w:tr>
      <w:tr w14:paraId="601F762C">
        <w:tblPrEx>
          <w:shd w:val="clear" w:color="auto" w:fill="FFFFFF"/>
          <w:tblCellMar>
            <w:top w:w="0" w:type="dxa"/>
            <w:left w:w="0" w:type="dxa"/>
            <w:bottom w:w="0" w:type="dxa"/>
            <w:right w:w="0" w:type="dxa"/>
          </w:tblCellMar>
        </w:tblPrEx>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2F5B8FDE">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第三学年</w:t>
            </w:r>
          </w:p>
        </w:tc>
        <w:tc>
          <w:tcPr>
            <w:tcW w:w="1609"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C8C6BB2">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第三学年开学后两周内缴纳</w:t>
            </w:r>
          </w:p>
        </w:tc>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4B3538A4">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10000元</w:t>
            </w:r>
          </w:p>
        </w:tc>
        <w:tc>
          <w:tcPr>
            <w:tcW w:w="1849" w:type="pct"/>
            <w:vMerge w:val="continue"/>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274EE457">
            <w:pPr>
              <w:spacing w:line="360" w:lineRule="auto"/>
              <w:jc w:val="center"/>
              <w:rPr>
                <w:color w:val="404040" w:themeColor="text1" w:themeTint="BF"/>
                <w:sz w:val="21"/>
                <w:szCs w:val="21"/>
                <w:lang w:val="en-US"/>
                <w14:textFill>
                  <w14:solidFill>
                    <w14:schemeClr w14:val="tx1">
                      <w14:lumMod w14:val="75000"/>
                      <w14:lumOff w14:val="25000"/>
                    </w14:schemeClr>
                  </w14:solidFill>
                </w14:textFill>
              </w:rPr>
            </w:pPr>
          </w:p>
        </w:tc>
      </w:tr>
      <w:tr w14:paraId="31F95DFA">
        <w:tblPrEx>
          <w:tblCellMar>
            <w:top w:w="0" w:type="dxa"/>
            <w:left w:w="0" w:type="dxa"/>
            <w:bottom w:w="0" w:type="dxa"/>
            <w:right w:w="0" w:type="dxa"/>
          </w:tblCellMar>
        </w:tblPrEx>
        <w:tc>
          <w:tcPr>
            <w:tcW w:w="5000" w:type="pct"/>
            <w:gridSpan w:val="4"/>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74A6D8CB">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lang w:val="en-US"/>
                <w14:textFill>
                  <w14:solidFill>
                    <w14:schemeClr w14:val="tx1">
                      <w14:lumMod w14:val="75000"/>
                      <w14:lumOff w14:val="25000"/>
                    </w14:schemeClr>
                  </w14:solidFill>
                </w14:textFill>
              </w:rPr>
              <w:t>注：学员在第二学年完成相关学业后可以办理结业手续；申请硕士学位的学员缴纳第三年费用，不申请学位的学员无需缴纳第三年费用</w:t>
            </w:r>
          </w:p>
        </w:tc>
      </w:tr>
    </w:tbl>
    <w:p w14:paraId="353F6D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cstheme="minorEastAsia"/>
          <w:b w:val="0"/>
          <w:bCs w:val="0"/>
          <w:sz w:val="21"/>
          <w:szCs w:val="21"/>
          <w:lang w:val="en-US" w:eastAsia="zh-CN"/>
        </w:rPr>
      </w:pPr>
    </w:p>
    <w:p w14:paraId="231E4245">
      <w:pPr>
        <w:widowControl w:val="0"/>
        <w:numPr>
          <w:ilvl w:val="0"/>
          <w:numId w:val="0"/>
        </w:numPr>
        <w:jc w:val="both"/>
        <w:rPr>
          <w:rFonts w:hint="eastAsia" w:ascii="仿宋" w:hAnsi="仿宋" w:cs="仿宋"/>
          <w:b/>
          <w:bCs/>
          <w:color w:val="000000"/>
          <w:spacing w:val="1"/>
          <w:sz w:val="21"/>
          <w:szCs w:val="21"/>
          <w:lang w:val="en-US" w:eastAsia="zh-CN"/>
        </w:rPr>
      </w:pPr>
    </w:p>
    <w:p w14:paraId="71E4F46A">
      <w:pPr>
        <w:widowControl w:val="0"/>
        <w:numPr>
          <w:ilvl w:val="0"/>
          <w:numId w:val="0"/>
        </w:numPr>
        <w:jc w:val="both"/>
        <w:rPr>
          <w:rFonts w:hint="default" w:ascii="仿宋" w:hAnsi="仿宋" w:cs="仿宋"/>
          <w:b/>
          <w:bCs/>
          <w:color w:val="000000"/>
          <w:spacing w:val="1"/>
          <w:sz w:val="21"/>
          <w:szCs w:val="21"/>
          <w:lang w:val="en-US" w:eastAsia="zh-CN"/>
        </w:rPr>
      </w:pPr>
    </w:p>
    <w:p w14:paraId="18027BE8">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获取证书：</w:t>
      </w:r>
    </w:p>
    <w:p w14:paraId="1F709624">
      <w:pPr>
        <w:pStyle w:val="3"/>
        <w:numPr>
          <w:ilvl w:val="0"/>
          <w:numId w:val="3"/>
        </w:numPr>
        <w:spacing w:before="100" w:line="292" w:lineRule="auto"/>
        <w:ind w:left="24" w:right="129" w:firstLine="400"/>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完成教学计划规定课程者，经学院审核后，颁发“中国政法大学同等学力研修班证书”,证书加盖学 校钢印、校印、校长印，结业名单于学院培训中心网站、学校开放教育管理办公室网站公示。</w:t>
      </w:r>
    </w:p>
    <w:p w14:paraId="0340A2E6">
      <w:pPr>
        <w:pStyle w:val="6"/>
        <w:keepNext w:val="0"/>
        <w:keepLines w:val="0"/>
        <w:pageBreakBefore w:val="0"/>
        <w:numPr>
          <w:ilvl w:val="0"/>
          <w:numId w:val="0"/>
        </w:numPr>
        <w:kinsoku/>
        <w:wordWrap/>
        <w:overflowPunct/>
        <w:topLinePunct w:val="0"/>
        <w:autoSpaceDE/>
        <w:autoSpaceDN/>
        <w:bidi w:val="0"/>
        <w:adjustRightInd/>
        <w:snapToGrid w:val="0"/>
        <w:spacing w:beforeAutospacing="0" w:afterAutospacing="0" w:line="360" w:lineRule="auto"/>
        <w:ind w:firstLine="424" w:firstLineChars="200"/>
        <w:contextualSpacing/>
        <w:textAlignment w:val="auto"/>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 xml:space="preserve">2、具有学士学位的学员且完成专业全部课程学习，通过同等学力申硕全国统一考试后，可申请进入硕士学位论文撰写阶段，通过同等学力水平认定，经我校学位委员会批准，授予颁发中国政法大学法学硕士学位证书。 </w:t>
      </w:r>
    </w:p>
    <w:p w14:paraId="16AFFE6A">
      <w:pPr>
        <w:widowControl w:val="0"/>
        <w:numPr>
          <w:ilvl w:val="0"/>
          <w:numId w:val="0"/>
        </w:numPr>
        <w:jc w:val="both"/>
        <w:rPr>
          <w:rFonts w:hint="eastAsia" w:ascii="仿宋" w:hAnsi="仿宋" w:cs="仿宋"/>
          <w:b/>
          <w:bCs/>
          <w:color w:val="000000"/>
          <w:spacing w:val="1"/>
          <w:sz w:val="21"/>
          <w:szCs w:val="21"/>
          <w:lang w:val="en-US" w:eastAsia="zh-CN"/>
        </w:rPr>
      </w:pPr>
    </w:p>
    <w:p w14:paraId="0F1B7D7F">
      <w:pPr>
        <w:widowControl w:val="0"/>
        <w:numPr>
          <w:ilvl w:val="0"/>
          <w:numId w:val="0"/>
        </w:numPr>
        <w:jc w:val="both"/>
        <w:rPr>
          <w:rFonts w:hint="default" w:ascii="仿宋" w:hAnsi="仿宋" w:cs="仿宋"/>
          <w:b/>
          <w:bCs/>
          <w:color w:val="000000"/>
          <w:spacing w:val="1"/>
          <w:sz w:val="21"/>
          <w:szCs w:val="21"/>
          <w:lang w:val="en-US" w:eastAsia="zh-CN"/>
        </w:rPr>
      </w:pPr>
    </w:p>
    <w:p w14:paraId="22684FA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eastAsia" w:cs="宋体"/>
          <w:kern w:val="2"/>
          <w:sz w:val="21"/>
          <w:szCs w:val="21"/>
          <w:lang w:val="en-US" w:eastAsia="zh-CN" w:bidi="ar-SA"/>
        </w:rPr>
      </w:pPr>
    </w:p>
    <w:p w14:paraId="075459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eastAsiaTheme="minorEastAsia" w:cstheme="minorEastAsia"/>
          <w:b w:val="0"/>
          <w:bCs w:val="0"/>
          <w:sz w:val="21"/>
          <w:szCs w:val="21"/>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4FFC0">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303520"/>
          <wp:effectExtent l="0" t="0" r="2540" b="11430"/>
          <wp:wrapNone/>
          <wp:docPr id="2" name="WordPictureWatermark30911" descr="中国政法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911" descr="中国政法大学LOGO"/>
                  <pic:cNvPicPr>
                    <a:picLocks noChangeAspect="1"/>
                  </pic:cNvPicPr>
                </pic:nvPicPr>
                <pic:blipFill>
                  <a:blip r:embed="rId1">
                    <a:lum bright="70000" contrast="-70000"/>
                  </a:blip>
                  <a:stretch>
                    <a:fillRect/>
                  </a:stretch>
                </pic:blipFill>
                <pic:spPr>
                  <a:xfrm>
                    <a:off x="0" y="0"/>
                    <a:ext cx="5274310" cy="530352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F8FC4F"/>
    <w:multiLevelType w:val="singleLevel"/>
    <w:tmpl w:val="37F8FC4F"/>
    <w:lvl w:ilvl="0" w:tentative="0">
      <w:start w:val="1"/>
      <w:numFmt w:val="chineseCounting"/>
      <w:suff w:val="nothing"/>
      <w:lvlText w:val="%1、"/>
      <w:lvlJc w:val="left"/>
      <w:rPr>
        <w:rFonts w:hint="eastAsia" w:ascii="宋体" w:hAnsi="宋体" w:eastAsia="宋体" w:cs="宋体"/>
        <w:sz w:val="21"/>
        <w:szCs w:val="21"/>
      </w:rPr>
    </w:lvl>
  </w:abstractNum>
  <w:abstractNum w:abstractNumId="1">
    <w:nsid w:val="62309B7C"/>
    <w:multiLevelType w:val="singleLevel"/>
    <w:tmpl w:val="62309B7C"/>
    <w:lvl w:ilvl="0" w:tentative="0">
      <w:start w:val="1"/>
      <w:numFmt w:val="decimal"/>
      <w:suff w:val="nothing"/>
      <w:lvlText w:val="%1、"/>
      <w:lvlJc w:val="left"/>
    </w:lvl>
  </w:abstractNum>
  <w:abstractNum w:abstractNumId="2">
    <w:nsid w:val="66347763"/>
    <w:multiLevelType w:val="singleLevel"/>
    <w:tmpl w:val="66347763"/>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25723A13"/>
    <w:rsid w:val="064F6069"/>
    <w:rsid w:val="117D6326"/>
    <w:rsid w:val="25723A13"/>
    <w:rsid w:val="2E7E7607"/>
    <w:rsid w:val="4CCE2312"/>
    <w:rsid w:val="53EF6C2C"/>
    <w:rsid w:val="675A2A4E"/>
    <w:rsid w:val="6DC347C2"/>
    <w:rsid w:val="798358CF"/>
    <w:rsid w:val="7DF75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黑体" w:hAnsi="黑体" w:eastAsia="黑体" w:cs="黑体"/>
      <w:sz w:val="22"/>
      <w:szCs w:val="22"/>
      <w:lang w:val="en-US" w:eastAsia="en-US"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0"/>
    <w:rPr>
      <w:b/>
    </w:rPr>
  </w:style>
  <w:style w:type="paragraph" w:customStyle="1" w:styleId="10">
    <w:name w:val="Table Text"/>
    <w:basedOn w:val="1"/>
    <w:semiHidden/>
    <w:qFormat/>
    <w:uiPriority w:val="0"/>
    <w:rPr>
      <w:rFonts w:ascii="宋体" w:hAnsi="宋体" w:eastAsia="宋体" w:cs="宋体"/>
      <w:sz w:val="21"/>
      <w:szCs w:val="21"/>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1673</Words>
  <Characters>1700</Characters>
  <Lines>0</Lines>
  <Paragraphs>0</Paragraphs>
  <TotalTime>0</TotalTime>
  <ScaleCrop>false</ScaleCrop>
  <LinksUpToDate>false</LinksUpToDate>
  <CharactersWithSpaces>1721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2026-07-25T01:49:00Z</dcterms:created>
  <dc:creator>Administrator</dc:creator>
  <cp:lastModifiedBy>Administrator</cp:lastModifiedBy>
  <dcterms:modified xsi:type="dcterms:W3CDTF">2026-01-14T05:46:09Z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5B2CFA6192A8435397CD7BBC395DFC5E_13</vt:lpwstr>
  </property>
  <property fmtid="{D5CDD505-2E9C-101B-9397-08002B2CF9AE}" pid="4" name="KSOTemplateDocerSaveRecord">
    <vt:lpwstr>eyJoZGlkIjoiMjJkYmYyOGQwNjU2YTFjYjBlYWQzZDdlZjc2Nzk1ZWYifQ==</vt:lpwstr>
  </property>
</Properties>
</file>