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F1B95">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中国政法大学经济法学专业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38B3F94B">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7AD3BEE0">
      <w:pPr>
        <w:spacing w:line="360" w:lineRule="auto"/>
        <w:rPr>
          <w:rFonts w:hint="eastAsia" w:asciiTheme="minorEastAsia" w:hAnsiTheme="minorEastAsia" w:eastAsiaTheme="minorEastAsia" w:cstheme="minorEastAsia"/>
          <w:color w:val="auto"/>
          <w:sz w:val="21"/>
          <w:szCs w:val="21"/>
          <w:lang w:eastAsia="zh-CN"/>
        </w:rPr>
      </w:pPr>
    </w:p>
    <w:p w14:paraId="1990DB89">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2933278C">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以法学学科为特色和优势的全国重点大学，民商经济法学院是中国政法大学主要学院之一。学院于2002年6月在原经济法系的基础上整合成立，设有民商法、经济法、知识产权法、环境资源法、民事诉讼法和社会法六个博士点和硕士点，均为国家级重点学科。学院的教学科研按照“面向经济建设，贴近法律职业”的思路，注重基础研究与应用研究并举，实行多学科交叉协同，逐步形成了自己的优势、特色和风格，教学科研水平位于国内前列。</w:t>
      </w:r>
    </w:p>
    <w:p w14:paraId="7A2BE2F6">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经济法学专业在法律体系中是一门新兴的、独立的学科。我国经济法学的研究，在发展速度和研究的广度和深度均处于领先地位。经济法的研究成果，对推动我国经济立法、经济守法、和经济执法中起巨大作用。在中国未来的法制法治发展中，经济法学专业有着广阔的发展前景。</w:t>
      </w:r>
    </w:p>
    <w:p w14:paraId="11AFC7AE">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经济法学</w:t>
      </w:r>
      <w:r>
        <w:rPr>
          <w:rFonts w:hint="eastAsia" w:asciiTheme="minorEastAsia" w:hAnsiTheme="minorEastAsia" w:eastAsiaTheme="minorEastAsia" w:cstheme="minorEastAsia"/>
          <w:color w:val="auto"/>
          <w:spacing w:val="0"/>
          <w:w w:val="100"/>
          <w:position w:val="0"/>
          <w:sz w:val="21"/>
          <w:szCs w:val="21"/>
        </w:rPr>
        <w:t>专业同等学力研修班。</w:t>
      </w:r>
    </w:p>
    <w:p w14:paraId="7C35B351">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经济法学</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56175BE9">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lang w:val="en-US" w:eastAsia="zh-CN"/>
        </w:rPr>
      </w:pPr>
    </w:p>
    <w:p w14:paraId="70F0687A">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457"/>
        <w:gridCol w:w="5673"/>
      </w:tblGrid>
      <w:tr w14:paraId="4DA3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27DB1BC4">
            <w:pPr>
              <w:shd w:val="clear"/>
              <w:spacing w:line="360" w:lineRule="auto"/>
              <w:jc w:val="center"/>
              <w:rPr>
                <w:rFonts w:hint="eastAsia" w:asciiTheme="minorEastAsia" w:hAnsiTheme="minorEastAsia" w:eastAsiaTheme="minorEastAsia" w:cstheme="minorEastAsia"/>
                <w:b/>
                <w:bCs/>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经济法学专业课程设置</w:t>
            </w:r>
          </w:p>
        </w:tc>
      </w:tr>
      <w:tr w14:paraId="11FE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restart"/>
          </w:tcPr>
          <w:p w14:paraId="4FC492AB">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公共课</w:t>
            </w:r>
          </w:p>
          <w:p w14:paraId="52DDAAB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（第一学年）</w:t>
            </w:r>
          </w:p>
        </w:tc>
        <w:tc>
          <w:tcPr>
            <w:tcW w:w="855" w:type="pct"/>
          </w:tcPr>
          <w:p w14:paraId="0A148CA8">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公共学位课</w:t>
            </w:r>
          </w:p>
        </w:tc>
        <w:tc>
          <w:tcPr>
            <w:tcW w:w="3326" w:type="pct"/>
          </w:tcPr>
          <w:p w14:paraId="0B13A2D0">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英语、习近平法治思想；</w:t>
            </w:r>
          </w:p>
        </w:tc>
      </w:tr>
      <w:tr w14:paraId="151A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5B209805">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5E5A8B6D">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学位基础课</w:t>
            </w:r>
          </w:p>
        </w:tc>
        <w:tc>
          <w:tcPr>
            <w:tcW w:w="3326" w:type="pct"/>
          </w:tcPr>
          <w:p w14:paraId="2AFBE898">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宪法学、法理学、中国法制史、刑法学、民法学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317D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pct"/>
            <w:vMerge w:val="restart"/>
          </w:tcPr>
          <w:p w14:paraId="52068F73">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563787D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专业课</w:t>
            </w:r>
          </w:p>
          <w:p w14:paraId="52C8804A">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（第二学年）</w:t>
            </w:r>
          </w:p>
        </w:tc>
        <w:tc>
          <w:tcPr>
            <w:tcW w:w="855" w:type="pct"/>
          </w:tcPr>
          <w:p w14:paraId="35F69E71">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学位专业课</w:t>
            </w:r>
          </w:p>
        </w:tc>
        <w:tc>
          <w:tcPr>
            <w:tcW w:w="3326" w:type="pct"/>
          </w:tcPr>
          <w:p w14:paraId="074DD3D1">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经济法理论、企业与公司法学、竞争法学、金融法学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642B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41D9DC1D">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220FFC2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002C4973">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3326" w:type="pct"/>
          </w:tcPr>
          <w:p w14:paraId="105B2452">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公司法前沿理论、房地产法学、破产法学、经济法专题讲座、财税法学、消费者法、法务会计、审计法、纳税筹划、信托法、证券法</w:t>
            </w:r>
            <w:r>
              <w:rPr>
                <w:rFonts w:hint="eastAsia" w:asciiTheme="minorEastAsia" w:hAnsiTheme="minorEastAsia" w:eastAsiaTheme="minorEastAsia" w:cstheme="minorEastAsia"/>
                <w:color w:val="000000"/>
                <w:spacing w:val="0"/>
                <w:w w:val="100"/>
                <w:position w:val="0"/>
                <w:sz w:val="21"/>
                <w:szCs w:val="21"/>
                <w:lang w:eastAsia="zh-CN"/>
              </w:rPr>
              <w:t>。</w:t>
            </w:r>
          </w:p>
        </w:tc>
      </w:tr>
    </w:tbl>
    <w:p w14:paraId="7F7C23A0">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41F3E36C">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1F20DB5D">
      <w:p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6DDD21B9">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5EA986DA">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34E83AF5">
      <w:pPr>
        <w:numPr>
          <w:ilvl w:val="0"/>
          <w:numId w:val="0"/>
        </w:numPr>
        <w:spacing w:line="360" w:lineRule="auto"/>
        <w:ind w:leftChars="0" w:right="0" w:rightChars="0"/>
        <w:rPr>
          <w:rFonts w:hint="eastAsia" w:asciiTheme="minorEastAsia" w:hAnsiTheme="minorEastAsia" w:eastAsiaTheme="minorEastAsia" w:cstheme="minorEastAsia"/>
          <w:i w:val="0"/>
          <w:iCs w:val="0"/>
          <w:caps w:val="0"/>
          <w:color w:val="auto"/>
          <w:spacing w:val="0"/>
          <w:sz w:val="21"/>
          <w:szCs w:val="21"/>
          <w:lang w:val="en-US" w:eastAsia="zh-CN"/>
        </w:rPr>
      </w:pPr>
    </w:p>
    <w:p w14:paraId="4BB5E6CD">
      <w:pPr>
        <w:shd w:val="clear" w:color="auto" w:fill="auto"/>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3D51AD8D">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010BFE94">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、专科学历及本科无学士学位者不可以报名参加同等学力申硕考试，但可以参加研修班学习。学员结业后可获得结业证书。</w:t>
      </w:r>
    </w:p>
    <w:p w14:paraId="2D94EB73">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、报名材料：报名表、身份证正反面复印件、最髙学历和学位证复印件各1份，二寸近期免冠蓝底照片4张。</w:t>
      </w:r>
    </w:p>
    <w:p w14:paraId="06209C1D">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0B3EBC4E">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16C0BB5D">
      <w:pPr>
        <w:pStyle w:val="9"/>
        <w:keepNext w:val="0"/>
        <w:keepLines w:val="0"/>
        <w:widowControl w:val="0"/>
        <w:shd w:val="clear" w:color="auto" w:fill="auto"/>
        <w:tabs>
          <w:tab w:val="left" w:pos="505"/>
        </w:tabs>
        <w:bidi w:val="0"/>
        <w:spacing w:before="0" w:after="80" w:line="36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p>
    <w:p w14:paraId="4F2CFD75">
      <w:pPr>
        <w:pStyle w:val="9"/>
        <w:keepNext w:val="0"/>
        <w:keepLines w:val="0"/>
        <w:widowControl w:val="0"/>
        <w:shd w:val="clear" w:color="auto" w:fill="auto"/>
        <w:tabs>
          <w:tab w:val="left" w:pos="505"/>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lang w:eastAsia="zh-CN"/>
        </w:rPr>
      </w:pPr>
    </w:p>
    <w:p w14:paraId="33D818B6">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六、教学特色</w:t>
      </w:r>
    </w:p>
    <w:p w14:paraId="014F33E9">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4" w:name="bookmark20"/>
      <w:r>
        <w:rPr>
          <w:rFonts w:hint="eastAsia" w:asciiTheme="minorEastAsia" w:hAnsiTheme="minorEastAsia" w:eastAsiaTheme="minorEastAsia" w:cstheme="minorEastAsia"/>
          <w:sz w:val="21"/>
          <w:szCs w:val="21"/>
          <w:lang w:eastAsia="zh-CN"/>
        </w:rPr>
        <w:t>1</w:t>
      </w:r>
      <w:bookmarkEnd w:id="4"/>
      <w:r>
        <w:rPr>
          <w:rFonts w:hint="eastAsia" w:asciiTheme="minorEastAsia" w:hAnsiTheme="minorEastAsia" w:eastAsiaTheme="minorEastAsia" w:cstheme="minorEastAsia"/>
          <w:sz w:val="21"/>
          <w:szCs w:val="21"/>
          <w:lang w:eastAsia="zh-CN"/>
        </w:rPr>
        <w:t>、加强同等学力人员申请硕士学位外语和法学综合考试的辅导课程，提升学员通过考试的能力。</w:t>
      </w:r>
    </w:p>
    <w:p w14:paraId="1798E33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5" w:name="bookmark21"/>
      <w:r>
        <w:rPr>
          <w:rFonts w:hint="eastAsia" w:asciiTheme="minorEastAsia" w:hAnsiTheme="minorEastAsia" w:eastAsiaTheme="minorEastAsia" w:cstheme="minorEastAsia"/>
          <w:sz w:val="21"/>
          <w:szCs w:val="21"/>
          <w:lang w:eastAsia="zh-CN"/>
        </w:rPr>
        <w:t>2</w:t>
      </w:r>
      <w:bookmarkEnd w:id="5"/>
      <w:r>
        <w:rPr>
          <w:rFonts w:hint="eastAsia" w:asciiTheme="minorEastAsia" w:hAnsiTheme="minorEastAsia" w:eastAsiaTheme="minorEastAsia" w:cstheme="minorEastAsia"/>
          <w:sz w:val="21"/>
          <w:szCs w:val="21"/>
          <w:lang w:eastAsia="zh-CN"/>
        </w:rPr>
        <w:t>、开设论文写作与指导课程，提升学术论文的写作能力。</w:t>
      </w:r>
    </w:p>
    <w:p w14:paraId="157B5D09">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6" w:name="bookmark22"/>
      <w:r>
        <w:rPr>
          <w:rFonts w:hint="eastAsia" w:asciiTheme="minorEastAsia" w:hAnsiTheme="minorEastAsia" w:eastAsiaTheme="minorEastAsia" w:cstheme="minorEastAsia"/>
          <w:sz w:val="21"/>
          <w:szCs w:val="21"/>
          <w:lang w:eastAsia="zh-CN"/>
        </w:rPr>
        <w:t>3</w:t>
      </w:r>
      <w:bookmarkEnd w:id="6"/>
      <w:r>
        <w:rPr>
          <w:rFonts w:hint="eastAsia" w:asciiTheme="minorEastAsia" w:hAnsiTheme="minorEastAsia" w:eastAsiaTheme="minorEastAsia" w:cstheme="minorEastAsia"/>
          <w:sz w:val="21"/>
          <w:szCs w:val="21"/>
          <w:lang w:eastAsia="zh-CN"/>
        </w:rPr>
        <w:t>、小班管理，实行班主任负责制。</w:t>
      </w:r>
    </w:p>
    <w:p w14:paraId="0A004991">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通过以上各环节，最终实现全面提高学员申硕率的培养目标。</w:t>
      </w:r>
    </w:p>
    <w:p w14:paraId="58E5F07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14F3C1F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七、申硕条件</w:t>
      </w:r>
    </w:p>
    <w:p w14:paraId="1457B1A2">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7" w:name="bookmark24"/>
      <w:r>
        <w:rPr>
          <w:rFonts w:hint="eastAsia" w:asciiTheme="minorEastAsia" w:hAnsiTheme="minorEastAsia" w:eastAsiaTheme="minorEastAsia" w:cstheme="minorEastAsia"/>
          <w:sz w:val="21"/>
          <w:szCs w:val="21"/>
          <w:lang w:eastAsia="zh-CN"/>
        </w:rPr>
        <w:t>1</w:t>
      </w:r>
      <w:bookmarkEnd w:id="7"/>
      <w:r>
        <w:rPr>
          <w:rFonts w:hint="eastAsia" w:asciiTheme="minorEastAsia" w:hAnsiTheme="minorEastAsia" w:eastAsiaTheme="minorEastAsia" w:cstheme="minorEastAsia"/>
          <w:sz w:val="21"/>
          <w:szCs w:val="21"/>
          <w:lang w:eastAsia="zh-CN"/>
        </w:rPr>
        <w:t>、已获得学士学位，并在获得学士学位后工作3年以上或虽无学士学位但已获得硕士或博士学位。</w:t>
      </w:r>
    </w:p>
    <w:p w14:paraId="68DB3886">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8" w:name="bookmark25"/>
      <w:r>
        <w:rPr>
          <w:rFonts w:hint="eastAsia" w:asciiTheme="minorEastAsia" w:hAnsiTheme="minorEastAsia" w:eastAsiaTheme="minorEastAsia" w:cstheme="minorEastAsia"/>
          <w:sz w:val="21"/>
          <w:szCs w:val="21"/>
          <w:lang w:eastAsia="zh-CN"/>
        </w:rPr>
        <w:t>2</w:t>
      </w:r>
      <w:bookmarkEnd w:id="8"/>
      <w:r>
        <w:rPr>
          <w:rFonts w:hint="eastAsia" w:asciiTheme="minorEastAsia" w:hAnsiTheme="minorEastAsia" w:eastAsiaTheme="minorEastAsia" w:cstheme="minorEastAsia"/>
          <w:sz w:val="21"/>
          <w:szCs w:val="21"/>
          <w:lang w:eastAsia="zh-CN"/>
        </w:rPr>
        <w:t>、在申请学位的专业或相近专业的教学、科研、专门技术领域取得一定成绩者（一般认定标准为：公开发表一篇不低于3000字的法学专业论文）。</w:t>
      </w:r>
    </w:p>
    <w:p w14:paraId="3809C305">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9" w:name="bookmark26"/>
      <w:r>
        <w:rPr>
          <w:rFonts w:hint="eastAsia" w:asciiTheme="minorEastAsia" w:hAnsiTheme="minorEastAsia" w:eastAsiaTheme="minorEastAsia" w:cstheme="minorEastAsia"/>
          <w:sz w:val="21"/>
          <w:szCs w:val="21"/>
          <w:lang w:eastAsia="zh-CN"/>
        </w:rPr>
        <w:t>3</w:t>
      </w:r>
      <w:bookmarkEnd w:id="9"/>
      <w:r>
        <w:rPr>
          <w:rFonts w:hint="eastAsia" w:asciiTheme="minorEastAsia" w:hAnsiTheme="minorEastAsia" w:eastAsiaTheme="minorEastAsia" w:cstheme="minorEastAsia"/>
          <w:sz w:val="21"/>
          <w:szCs w:val="21"/>
          <w:lang w:eastAsia="zh-CN"/>
        </w:rPr>
        <w:t>、学校的学位与研究生教育管理部门组织对已经资格审查合格的申请人，按硕士研究生培养方案规定的课程进行考试。</w:t>
      </w:r>
    </w:p>
    <w:p w14:paraId="354B54B6">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4、通过全国统一的同等学力人员申请硕士学位的外语考试和法学综合考试。</w:t>
      </w:r>
    </w:p>
    <w:p w14:paraId="6DDA7F14">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5、完成相关专业培养方案的规定课程并通过考试（考核），修满相应学分，获得结业证书。</w:t>
      </w:r>
    </w:p>
    <w:p w14:paraId="0DA45ECF">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6、申请人自资审之日起五年之内通过国考和完成答辩；且最后一个学分获得之日起一年半之内完成答辩；上述两个条件要同时满足。</w:t>
      </w:r>
    </w:p>
    <w:p w14:paraId="46EFFA19">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rPr>
      </w:pPr>
    </w:p>
    <w:p w14:paraId="7DCB77EA">
      <w:pPr>
        <w:pStyle w:val="9"/>
        <w:keepNext w:val="0"/>
        <w:keepLines w:val="0"/>
        <w:widowControl w:val="0"/>
        <w:numPr>
          <w:ilvl w:val="0"/>
          <w:numId w:val="3"/>
        </w:numPr>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缴费时间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034"/>
        <w:gridCol w:w="1827"/>
        <w:gridCol w:w="2269"/>
      </w:tblGrid>
      <w:tr w14:paraId="269A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791867F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阶段</w:t>
            </w:r>
          </w:p>
        </w:tc>
        <w:tc>
          <w:tcPr>
            <w:tcW w:w="3034" w:type="dxa"/>
          </w:tcPr>
          <w:p w14:paraId="4DA2B03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缴费时间</w:t>
            </w:r>
          </w:p>
        </w:tc>
        <w:tc>
          <w:tcPr>
            <w:tcW w:w="1827" w:type="dxa"/>
          </w:tcPr>
          <w:p w14:paraId="54578DB6">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缴费金额</w:t>
            </w:r>
          </w:p>
        </w:tc>
        <w:tc>
          <w:tcPr>
            <w:tcW w:w="2269" w:type="dxa"/>
          </w:tcPr>
          <w:p w14:paraId="13951BE7">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缴费方式</w:t>
            </w:r>
          </w:p>
        </w:tc>
      </w:tr>
      <w:tr w14:paraId="1391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7397EB6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第一学年</w:t>
            </w:r>
          </w:p>
        </w:tc>
        <w:tc>
          <w:tcPr>
            <w:tcW w:w="3034" w:type="dxa"/>
          </w:tcPr>
          <w:p w14:paraId="69BAF56C">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报名成功后缴纳</w:t>
            </w:r>
          </w:p>
        </w:tc>
        <w:tc>
          <w:tcPr>
            <w:tcW w:w="1827" w:type="dxa"/>
          </w:tcPr>
          <w:p w14:paraId="216BDEB3">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25000元</w:t>
            </w:r>
          </w:p>
        </w:tc>
        <w:tc>
          <w:tcPr>
            <w:tcW w:w="2269" w:type="dxa"/>
            <w:vMerge w:val="restart"/>
          </w:tcPr>
          <w:p w14:paraId="36269ABB">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中国政法大学</w:t>
            </w:r>
          </w:p>
          <w:p w14:paraId="5878FC1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统一支付平台</w:t>
            </w:r>
          </w:p>
        </w:tc>
      </w:tr>
      <w:tr w14:paraId="045E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778C7B5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w:t>
            </w:r>
          </w:p>
        </w:tc>
        <w:tc>
          <w:tcPr>
            <w:tcW w:w="3034" w:type="dxa"/>
          </w:tcPr>
          <w:p w14:paraId="322022AE">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第二学年开学后两周内缴纳</w:t>
            </w:r>
          </w:p>
        </w:tc>
        <w:tc>
          <w:tcPr>
            <w:tcW w:w="1827" w:type="dxa"/>
          </w:tcPr>
          <w:p w14:paraId="631B43CB">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20000元</w:t>
            </w:r>
          </w:p>
        </w:tc>
        <w:tc>
          <w:tcPr>
            <w:tcW w:w="2269" w:type="dxa"/>
            <w:vMerge w:val="continue"/>
          </w:tcPr>
          <w:p w14:paraId="76CC1A90">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r w14:paraId="39E5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299E4613">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w:t>
            </w:r>
          </w:p>
        </w:tc>
        <w:tc>
          <w:tcPr>
            <w:tcW w:w="3034" w:type="dxa"/>
          </w:tcPr>
          <w:p w14:paraId="45103DAA">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第三学年开学后缴纳</w:t>
            </w:r>
          </w:p>
        </w:tc>
        <w:tc>
          <w:tcPr>
            <w:tcW w:w="1827" w:type="dxa"/>
          </w:tcPr>
          <w:p w14:paraId="6F05D4D9">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10000元</w:t>
            </w:r>
          </w:p>
        </w:tc>
        <w:tc>
          <w:tcPr>
            <w:tcW w:w="2269" w:type="dxa"/>
            <w:vMerge w:val="continue"/>
          </w:tcPr>
          <w:p w14:paraId="02C1B27A">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bl>
    <w:p w14:paraId="738395AF">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注：学员在第二学年完成相关学业后可以办理结业手续；申请硕士学位的学员缴纳第三年 费用；不申请硕士学位的学员无需缴纳第三年费用</w:t>
      </w:r>
      <w:r>
        <w:rPr>
          <w:rFonts w:hint="eastAsia" w:asciiTheme="minorEastAsia" w:hAnsiTheme="minorEastAsia" w:eastAsiaTheme="minorEastAsia" w:cstheme="minorEastAsia"/>
          <w:sz w:val="21"/>
          <w:szCs w:val="21"/>
          <w:lang w:eastAsia="zh-CN"/>
        </w:rPr>
        <w:t>）</w:t>
      </w:r>
    </w:p>
    <w:p w14:paraId="6449713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20F83ECA">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10" w:name="_GoBack"/>
      <w:bookmarkEnd w:id="1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EF930">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7CFB2"/>
    <w:multiLevelType w:val="singleLevel"/>
    <w:tmpl w:val="DA47CFB2"/>
    <w:lvl w:ilvl="0" w:tentative="0">
      <w:start w:val="8"/>
      <w:numFmt w:val="chineseCounting"/>
      <w:suff w:val="nothing"/>
      <w:lvlText w:val="%1、"/>
      <w:lvlJc w:val="left"/>
      <w:rPr>
        <w:rFonts w:hint="eastAsia"/>
      </w:rPr>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050D6A1C"/>
    <w:rsid w:val="08E5368D"/>
    <w:rsid w:val="1B693ACB"/>
    <w:rsid w:val="1D6D1ED1"/>
    <w:rsid w:val="29657728"/>
    <w:rsid w:val="2A9D1E72"/>
    <w:rsid w:val="336B4A5C"/>
    <w:rsid w:val="47422C86"/>
    <w:rsid w:val="48F05114"/>
    <w:rsid w:val="6F59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789</Words>
  <Characters>801</Characters>
  <Lines>0</Lines>
  <Paragraphs>0</Paragraphs>
  <TotalTime>2</TotalTime>
  <ScaleCrop>false</ScaleCrop>
  <LinksUpToDate>false</LinksUpToDate>
  <CharactersWithSpaces>801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7B28390AC7C648D9BC3304F5F81585EE</vt:lpwstr>
  </property>
  <property fmtid="{D5CDD505-2E9C-101B-9397-08002B2CF9AE}" pid="4" name="KSOTemplateDocerSaveRecord">
    <vt:lpwstr>eyJoZGlkIjoiMjJkYmYyOGQwNjU2YTFjYjBlYWQzZDdlZjc2Nzk1ZWYifQ==</vt:lpwstr>
  </property>
</Properties>
</file>