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FA603">
      <w:pPr>
        <w:pStyle w:val="8"/>
        <w:keepNext/>
        <w:keepLines/>
        <w:widowControl w:val="0"/>
        <w:shd w:val="clear" w:color="auto" w:fill="auto"/>
        <w:bidi w:val="0"/>
        <w:spacing w:before="0" w:line="240" w:lineRule="auto"/>
        <w:ind w:left="0" w:right="0" w:firstLine="0"/>
        <w:jc w:val="center"/>
        <w:rPr>
          <w:rFonts w:hint="eastAsia" w:asciiTheme="minorEastAsia" w:hAnsiTheme="minorEastAsia" w:eastAsiaTheme="minorEastAsia" w:cstheme="minorEastAsia"/>
          <w:b/>
          <w:bCs/>
          <w:color w:val="auto"/>
          <w:sz w:val="32"/>
          <w:szCs w:val="32"/>
        </w:rPr>
      </w:pPr>
      <w:bookmarkStart w:id="0" w:name="bookmark6"/>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1191260</wp:posOffset>
            </wp:positionH>
            <wp:positionV relativeFrom="paragraph">
              <wp:posOffset>-88900</wp:posOffset>
            </wp:positionV>
            <wp:extent cx="2974340" cy="889635"/>
            <wp:effectExtent l="0" t="0" r="16510" b="5715"/>
            <wp:wrapTopAndBottom/>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rcRect t="34153" b="28462"/>
                    <a:stretch>
                      <a:fillRect/>
                    </a:stretch>
                  </pic:blipFill>
                  <pic:spPr>
                    <a:xfrm>
                      <a:off x="0" y="0"/>
                      <a:ext cx="2974340" cy="889635"/>
                    </a:xfrm>
                    <a:prstGeom prst="rect">
                      <a:avLst/>
                    </a:prstGeom>
                    <a:noFill/>
                    <a:ln w="9525">
                      <a:noFill/>
                    </a:ln>
                  </pic:spPr>
                </pic:pic>
              </a:graphicData>
            </a:graphic>
          </wp:anchor>
        </w:drawing>
      </w:r>
      <w:r>
        <w:rPr>
          <w:rFonts w:hint="eastAsia" w:asciiTheme="minorEastAsia" w:hAnsiTheme="minorEastAsia" w:eastAsiaTheme="minorEastAsia" w:cstheme="minorEastAsia"/>
          <w:b/>
          <w:bCs/>
          <w:color w:val="auto"/>
          <w:spacing w:val="0"/>
          <w:w w:val="100"/>
          <w:position w:val="0"/>
          <w:sz w:val="32"/>
          <w:szCs w:val="32"/>
          <w:lang w:val="en-US" w:eastAsia="zh-CN" w:bidi="zh-TW"/>
        </w:rPr>
        <w:t>中国政法大学法商管理专业</w:t>
      </w:r>
      <w:r>
        <w:rPr>
          <w:rFonts w:hint="eastAsia" w:asciiTheme="minorEastAsia" w:hAnsiTheme="minorEastAsia" w:eastAsiaTheme="minorEastAsia" w:cstheme="minorEastAsia"/>
          <w:b/>
          <w:bCs/>
          <w:color w:val="auto"/>
          <w:spacing w:val="0"/>
          <w:w w:val="100"/>
          <w:position w:val="0"/>
          <w:sz w:val="32"/>
          <w:szCs w:val="32"/>
          <w:lang w:val="zh-TW" w:eastAsia="zh-TW" w:bidi="zh-TW"/>
        </w:rPr>
        <w:t>同等学力研修班招生简章</w:t>
      </w:r>
      <w:bookmarkEnd w:id="0"/>
    </w:p>
    <w:p w14:paraId="16D3ECA3">
      <w:pPr>
        <w:spacing w:line="360" w:lineRule="auto"/>
        <w:ind w:firstLine="420" w:firstLineChars="200"/>
        <w:jc w:val="both"/>
        <w:rPr>
          <w:rFonts w:hint="eastAsia" w:asciiTheme="minorEastAsia" w:hAnsiTheme="minorEastAsia" w:eastAsiaTheme="minorEastAsia" w:cstheme="minorEastAsia"/>
          <w:i w:val="0"/>
          <w:iCs w:val="0"/>
          <w:caps w:val="0"/>
          <w:color w:val="auto"/>
          <w:spacing w:val="0"/>
          <w:sz w:val="21"/>
          <w:szCs w:val="21"/>
        </w:rPr>
      </w:pPr>
      <w:r>
        <w:rPr>
          <w:rFonts w:hint="eastAsia" w:asciiTheme="minorEastAsia" w:hAnsiTheme="minorEastAsia" w:eastAsiaTheme="minorEastAsia" w:cstheme="minorEastAsia"/>
          <w:i w:val="0"/>
          <w:iCs w:val="0"/>
          <w:caps w:val="0"/>
          <w:color w:val="auto"/>
          <w:spacing w:val="0"/>
          <w:sz w:val="21"/>
          <w:szCs w:val="21"/>
        </w:rPr>
        <w:t>中国政法大学是一所以法学学科为特色和优势，兼有政治学、经济学、管理学、文学、历史学、哲学、教育学、理学、工学等学科的“211工程”重点建设大学，“‘985工程’优势学科创新平台”“2011计划”和“111计划”（高校学科创新引智计划）重点建设高校，国家“双一流”建设高校，直属于国家教育部，由教育部与北京市共建，正致力于建设世界一流大学和一流学科。</w:t>
      </w:r>
    </w:p>
    <w:p w14:paraId="5C8217D2">
      <w:pPr>
        <w:spacing w:line="360" w:lineRule="auto"/>
        <w:jc w:val="both"/>
        <w:rPr>
          <w:rFonts w:hint="eastAsia" w:asciiTheme="minorEastAsia" w:hAnsiTheme="minorEastAsia" w:eastAsiaTheme="minorEastAsia" w:cstheme="minorEastAsia"/>
          <w:color w:val="auto"/>
          <w:sz w:val="21"/>
          <w:szCs w:val="21"/>
          <w:lang w:eastAsia="zh-CN"/>
        </w:rPr>
      </w:pPr>
    </w:p>
    <w:p w14:paraId="721D3238">
      <w:pPr>
        <w:spacing w:line="360" w:lineRule="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eastAsia="zh-CN"/>
        </w:rPr>
        <w:t>一、学院及专业简介</w:t>
      </w:r>
    </w:p>
    <w:p w14:paraId="48CD933A">
      <w:pPr>
        <w:spacing w:line="360" w:lineRule="auto"/>
        <w:ind w:firstLine="420" w:firstLineChars="2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中国政法大学商学院是中国政法大学主要学院之一。学院依托1995年设立的工商管理本科专业，于2002年在整合我校经济、管理和法律师资及教学资源基础上正式组建。2017年，商学院作为中国政法大学教学改革创新试点单位，以“一主两翼，创新发展，培养社会需要的复合型人才”为办学理念，对原有院所体系进行了全面整合，依托中国政法大学法学优势，明确提出了 一主两翼”的发展方向，即以工商管理和经济学为主导，以法商管理和融商管理为“两翼”的发展模式。</w:t>
      </w:r>
    </w:p>
    <w:p w14:paraId="07A78FEA">
      <w:pPr>
        <w:spacing w:line="360" w:lineRule="auto"/>
        <w:ind w:firstLine="420" w:firstLineChars="200"/>
        <w:jc w:val="both"/>
        <w:rPr>
          <w:rFonts w:hint="eastAsia" w:asciiTheme="minorEastAsia" w:hAnsiTheme="minorEastAsia" w:eastAsiaTheme="minorEastAsia" w:cstheme="minorEastAsia"/>
          <w:color w:val="auto"/>
          <w:spacing w:val="0"/>
          <w:w w:val="100"/>
          <w:position w:val="0"/>
          <w:sz w:val="21"/>
          <w:szCs w:val="21"/>
          <w:lang w:eastAsia="zh-CN"/>
        </w:rPr>
      </w:pPr>
      <w:r>
        <w:rPr>
          <w:rFonts w:hint="eastAsia" w:asciiTheme="minorEastAsia" w:hAnsiTheme="minorEastAsia" w:eastAsiaTheme="minorEastAsia" w:cstheme="minorEastAsia"/>
          <w:color w:val="auto"/>
          <w:spacing w:val="0"/>
          <w:w w:val="100"/>
          <w:position w:val="0"/>
          <w:sz w:val="21"/>
          <w:szCs w:val="21"/>
          <w:lang w:eastAsia="zh-CN"/>
        </w:rPr>
        <w:t>商学院法商系，致力于培养兼通企业管理与商务法律的复合型高级专业人才，理论专长与实务能力兼顾，开创中国法商管理教育，推进我国法商管理学科的深入研究，开拓中国商学院培养高级法务人才的复合型教育模式。依托中国政法大学雄厚的法律教育资源，突出在具备经济学、管理学的深厚知识基础之上，培养真正具有操作能力的法务管理、合规管理、风险控制管理的高级实务人才。</w:t>
      </w:r>
    </w:p>
    <w:p w14:paraId="6CCDDD92">
      <w:pPr>
        <w:spacing w:line="360" w:lineRule="auto"/>
        <w:ind w:firstLine="420" w:firstLineChars="2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0"/>
          <w:w w:val="100"/>
          <w:position w:val="0"/>
          <w:sz w:val="21"/>
          <w:szCs w:val="21"/>
        </w:rPr>
        <w:t>为了贯彻实施依法治国方略，推进新时代中国特色社会主义法治建设，适应社会对法律人才的需要，根据国务院学位委员会、教育部、国家发展改革委关于同等学力人员申请硕士学位工作的有关规定，为满足在职人员申请硕士学位的需求，经学校研究决定，中国政法大学培训学院特举办</w:t>
      </w:r>
      <w:r>
        <w:rPr>
          <w:rFonts w:hint="eastAsia" w:asciiTheme="minorEastAsia" w:hAnsiTheme="minorEastAsia" w:eastAsiaTheme="minorEastAsia" w:cstheme="minorEastAsia"/>
          <w:color w:val="auto"/>
          <w:spacing w:val="0"/>
          <w:w w:val="100"/>
          <w:position w:val="0"/>
          <w:sz w:val="21"/>
          <w:szCs w:val="21"/>
          <w:lang w:eastAsia="zh-CN"/>
        </w:rPr>
        <w:t>法商管理</w:t>
      </w:r>
      <w:r>
        <w:rPr>
          <w:rFonts w:hint="eastAsia" w:asciiTheme="minorEastAsia" w:hAnsiTheme="minorEastAsia" w:eastAsiaTheme="minorEastAsia" w:cstheme="minorEastAsia"/>
          <w:color w:val="auto"/>
          <w:spacing w:val="0"/>
          <w:w w:val="100"/>
          <w:position w:val="0"/>
          <w:sz w:val="21"/>
          <w:szCs w:val="21"/>
        </w:rPr>
        <w:t>专业同等学力研修班。</w:t>
      </w:r>
    </w:p>
    <w:p w14:paraId="402E144D">
      <w:pPr>
        <w:pStyle w:val="9"/>
        <w:keepNext w:val="0"/>
        <w:keepLines w:val="0"/>
        <w:widowControl w:val="0"/>
        <w:shd w:val="clear" w:color="auto" w:fill="auto"/>
        <w:bidi w:val="0"/>
        <w:spacing w:before="0" w:after="60" w:line="360" w:lineRule="auto"/>
        <w:ind w:right="0" w:firstLine="420" w:firstLineChars="200"/>
        <w:jc w:val="both"/>
        <w:rPr>
          <w:rFonts w:hint="eastAsia" w:asciiTheme="minorEastAsia" w:hAnsiTheme="minorEastAsia" w:eastAsiaTheme="minorEastAsia" w:cstheme="minorEastAsia"/>
          <w:color w:val="auto"/>
          <w:spacing w:val="0"/>
          <w:w w:val="100"/>
          <w:position w:val="0"/>
          <w:sz w:val="21"/>
          <w:szCs w:val="21"/>
        </w:rPr>
      </w:pPr>
      <w:r>
        <w:rPr>
          <w:rFonts w:hint="eastAsia" w:asciiTheme="minorEastAsia" w:hAnsiTheme="minorEastAsia" w:eastAsiaTheme="minorEastAsia" w:cstheme="minorEastAsia"/>
          <w:color w:val="auto"/>
          <w:spacing w:val="0"/>
          <w:w w:val="100"/>
          <w:position w:val="0"/>
          <w:sz w:val="21"/>
          <w:szCs w:val="21"/>
          <w:lang w:eastAsia="zh-CN"/>
        </w:rPr>
        <w:t>法商管理</w:t>
      </w:r>
      <w:r>
        <w:rPr>
          <w:rFonts w:hint="eastAsia" w:asciiTheme="minorEastAsia" w:hAnsiTheme="minorEastAsia" w:eastAsiaTheme="minorEastAsia" w:cstheme="minorEastAsia"/>
          <w:color w:val="auto"/>
          <w:spacing w:val="0"/>
          <w:w w:val="100"/>
          <w:position w:val="0"/>
          <w:sz w:val="21"/>
          <w:szCs w:val="21"/>
        </w:rPr>
        <w:t>专业同等学力研修班工作由中国政法大学培训学院具体负责，集中学校优势办学资源，全面开展同等学力办学工作。培训实行统一招生、统一教学、统一管理，培训按学科专业进行系统化培养。</w:t>
      </w:r>
    </w:p>
    <w:p w14:paraId="64CE192C">
      <w:pPr>
        <w:numPr>
          <w:ilvl w:val="0"/>
          <w:numId w:val="1"/>
        </w:numPr>
        <w:spacing w:line="360" w:lineRule="auto"/>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课程安排</w:t>
      </w:r>
    </w:p>
    <w:tbl>
      <w:tblPr>
        <w:tblStyle w:val="5"/>
        <w:tblW w:w="43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6172"/>
      </w:tblGrid>
      <w:tr w14:paraId="1933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2"/>
          </w:tcPr>
          <w:p w14:paraId="46C5D5F0">
            <w:pPr>
              <w:shd w:val="clear"/>
              <w:spacing w:line="360" w:lineRule="auto"/>
              <w:ind w:firstLine="2249" w:firstLineChars="800"/>
              <w:rPr>
                <w:rFonts w:hint="default" w:ascii="宋体" w:hAnsi="宋体" w:eastAsia="宋体" w:cs="宋体"/>
                <w:spacing w:val="9"/>
                <w:sz w:val="23"/>
                <w:szCs w:val="23"/>
                <w:lang w:val="en-US"/>
              </w:rPr>
            </w:pPr>
            <w:r>
              <w:rPr>
                <w:rFonts w:hint="eastAsia" w:asciiTheme="minorEastAsia" w:hAnsiTheme="minorEastAsia" w:eastAsiaTheme="minorEastAsia" w:cstheme="minorEastAsia"/>
                <w:b/>
                <w:bCs/>
                <w:color w:val="auto"/>
                <w:spacing w:val="0"/>
                <w:w w:val="100"/>
                <w:position w:val="0"/>
                <w:sz w:val="28"/>
                <w:szCs w:val="28"/>
                <w:lang w:val="en-US" w:eastAsia="zh-CN" w:bidi="zh-TW"/>
              </w:rPr>
              <w:t>法商管理专业课程设置</w:t>
            </w:r>
          </w:p>
        </w:tc>
      </w:tr>
      <w:tr w14:paraId="645E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4" w:type="pct"/>
          </w:tcPr>
          <w:p w14:paraId="6E30AF13">
            <w:pPr>
              <w:shd w:val="clear"/>
              <w:spacing w:line="360" w:lineRule="auto"/>
              <w:jc w:val="both"/>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基础必修课</w:t>
            </w:r>
          </w:p>
        </w:tc>
        <w:tc>
          <w:tcPr>
            <w:tcW w:w="4115" w:type="pct"/>
          </w:tcPr>
          <w:p w14:paraId="533E051C">
            <w:pPr>
              <w:shd w:val="clear"/>
              <w:spacing w:line="360" w:lineRule="auto"/>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9"/>
                <w:sz w:val="23"/>
                <w:szCs w:val="23"/>
              </w:rPr>
              <w:t>管理学原理、企业战略管理、市场营销、财务管理</w:t>
            </w:r>
            <w:r>
              <w:rPr>
                <w:rFonts w:hint="eastAsia" w:ascii="宋体" w:hAnsi="宋体" w:eastAsia="宋体" w:cs="宋体"/>
                <w:spacing w:val="9"/>
                <w:sz w:val="23"/>
                <w:szCs w:val="23"/>
                <w:lang w:eastAsia="zh-CN"/>
              </w:rPr>
              <w:t>（</w:t>
            </w:r>
            <w:r>
              <w:rPr>
                <w:rFonts w:hint="eastAsia" w:ascii="宋体" w:hAnsi="宋体" w:eastAsia="宋体" w:cs="宋体"/>
                <w:spacing w:val="9"/>
                <w:sz w:val="23"/>
                <w:szCs w:val="23"/>
                <w:lang w:val="en-US" w:eastAsia="zh-CN"/>
              </w:rPr>
              <w:t>申硕国考科目</w:t>
            </w:r>
            <w:r>
              <w:rPr>
                <w:rFonts w:hint="eastAsia" w:ascii="宋体" w:hAnsi="宋体" w:eastAsia="宋体" w:cs="宋体"/>
                <w:spacing w:val="9"/>
                <w:sz w:val="23"/>
                <w:szCs w:val="23"/>
                <w:lang w:eastAsia="zh-CN"/>
              </w:rPr>
              <w:t>）</w:t>
            </w:r>
          </w:p>
        </w:tc>
      </w:tr>
      <w:tr w14:paraId="2AB3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pct"/>
          </w:tcPr>
          <w:p w14:paraId="7290A533">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专业必修课</w:t>
            </w:r>
          </w:p>
        </w:tc>
        <w:tc>
          <w:tcPr>
            <w:tcW w:w="4115" w:type="pct"/>
          </w:tcPr>
          <w:p w14:paraId="5A68C72A">
            <w:pPr>
              <w:spacing w:before="186" w:line="227" w:lineRule="auto"/>
              <w:ind w:left="9"/>
              <w:rPr>
                <w:rFonts w:hint="eastAsia" w:eastAsia="宋体" w:asciiTheme="minorEastAsia" w:hAnsiTheme="minorEastAsia" w:cstheme="minorEastAsia"/>
                <w:i w:val="0"/>
                <w:iCs w:val="0"/>
                <w:caps w:val="0"/>
                <w:color w:val="auto"/>
                <w:spacing w:val="0"/>
                <w:sz w:val="21"/>
                <w:szCs w:val="21"/>
                <w:vertAlign w:val="baseline"/>
                <w:lang w:eastAsia="zh-CN"/>
              </w:rPr>
            </w:pPr>
            <w:r>
              <w:rPr>
                <w:rFonts w:ascii="宋体" w:hAnsi="宋体" w:eastAsia="宋体" w:cs="宋体"/>
                <w:spacing w:val="8"/>
                <w:sz w:val="23"/>
                <w:szCs w:val="23"/>
              </w:rPr>
              <w:t xml:space="preserve">法务会计与舞弊风险管理、管理经济学、市场营销管理、战略管理 </w:t>
            </w:r>
            <w:r>
              <w:rPr>
                <w:rFonts w:hint="eastAsia" w:ascii="宋体" w:hAnsi="宋体" w:eastAsia="宋体" w:cs="宋体"/>
                <w:spacing w:val="8"/>
                <w:sz w:val="23"/>
                <w:szCs w:val="23"/>
                <w:lang w:eastAsia="zh-CN"/>
              </w:rPr>
              <w:t>（</w:t>
            </w:r>
            <w:r>
              <w:rPr>
                <w:rFonts w:hint="eastAsia" w:ascii="宋体" w:hAnsi="宋体" w:eastAsia="宋体" w:cs="宋体"/>
                <w:spacing w:val="8"/>
                <w:sz w:val="23"/>
                <w:szCs w:val="23"/>
                <w:lang w:val="en-US" w:eastAsia="zh-CN"/>
              </w:rPr>
              <w:t>申硕校考科目</w:t>
            </w:r>
            <w:r>
              <w:rPr>
                <w:rFonts w:hint="eastAsia" w:ascii="宋体" w:hAnsi="宋体" w:eastAsia="宋体" w:cs="宋体"/>
                <w:spacing w:val="8"/>
                <w:sz w:val="23"/>
                <w:szCs w:val="23"/>
                <w:lang w:eastAsia="zh-CN"/>
              </w:rPr>
              <w:t>）</w:t>
            </w:r>
          </w:p>
        </w:tc>
      </w:tr>
      <w:tr w14:paraId="558A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 w:type="pct"/>
          </w:tcPr>
          <w:p w14:paraId="3DF4465E">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p w14:paraId="23537DE7">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p>
          <w:p w14:paraId="290E9026">
            <w:pPr>
              <w:shd w:val="clear"/>
              <w:spacing w:line="360" w:lineRule="auto"/>
              <w:jc w:val="center"/>
              <w:rPr>
                <w:rFonts w:hint="eastAsia" w:asciiTheme="minorEastAsia" w:hAnsiTheme="minorEastAsia" w:eastAsiaTheme="minorEastAsia" w:cstheme="minorEastAsia"/>
                <w:i w:val="0"/>
                <w:iCs w:val="0"/>
                <w:caps w:val="0"/>
                <w:color w:val="auto"/>
                <w:spacing w:val="0"/>
                <w:sz w:val="21"/>
                <w:szCs w:val="21"/>
                <w:vertAlign w:val="baseline"/>
                <w:lang w:eastAsia="zh-CN"/>
              </w:rPr>
            </w:pPr>
            <w:r>
              <w:rPr>
                <w:rFonts w:hint="eastAsia" w:asciiTheme="minorEastAsia" w:hAnsiTheme="minorEastAsia" w:eastAsiaTheme="minorEastAsia" w:cstheme="minorEastAsia"/>
                <w:b/>
                <w:bCs/>
                <w:i w:val="0"/>
                <w:iCs w:val="0"/>
                <w:caps w:val="0"/>
                <w:color w:val="auto"/>
                <w:spacing w:val="0"/>
                <w:sz w:val="21"/>
                <w:szCs w:val="21"/>
                <w:vertAlign w:val="baseline"/>
                <w:lang w:eastAsia="zh-CN"/>
              </w:rPr>
              <w:t>专业选修课</w:t>
            </w:r>
          </w:p>
        </w:tc>
        <w:tc>
          <w:tcPr>
            <w:tcW w:w="4115" w:type="pct"/>
          </w:tcPr>
          <w:p w14:paraId="3FD92B6A">
            <w:pPr>
              <w:spacing w:before="186" w:line="227" w:lineRule="auto"/>
              <w:ind w:left="9"/>
              <w:rPr>
                <w:rFonts w:hint="eastAsia" w:asciiTheme="minorEastAsia" w:hAnsiTheme="minorEastAsia" w:eastAsiaTheme="minorEastAsia" w:cstheme="minorEastAsia"/>
                <w:color w:val="000000"/>
                <w:spacing w:val="0"/>
                <w:w w:val="100"/>
                <w:position w:val="0"/>
                <w:sz w:val="21"/>
                <w:szCs w:val="21"/>
                <w:lang w:eastAsia="zh-CN"/>
              </w:rPr>
            </w:pPr>
            <w:r>
              <w:rPr>
                <w:rFonts w:ascii="宋体" w:hAnsi="宋体" w:eastAsia="宋体" w:cs="宋体"/>
                <w:spacing w:val="8"/>
                <w:sz w:val="23"/>
                <w:szCs w:val="23"/>
              </w:rPr>
              <w:t>人力资源管理、资本金融学、金融监管、投资学、企业合规与法律风险管</w:t>
            </w:r>
            <w:r>
              <w:rPr>
                <w:rFonts w:ascii="宋体" w:hAnsi="宋体" w:eastAsia="宋体" w:cs="宋体"/>
                <w:spacing w:val="11"/>
                <w:sz w:val="23"/>
                <w:szCs w:val="23"/>
              </w:rPr>
              <w:t>理</w:t>
            </w:r>
            <w:r>
              <w:rPr>
                <w:rFonts w:ascii="宋体" w:hAnsi="宋体" w:eastAsia="宋体" w:cs="宋体"/>
                <w:spacing w:val="8"/>
                <w:sz w:val="23"/>
                <w:szCs w:val="23"/>
              </w:rPr>
              <w:t>、公司治理、组织行为学、商业模式设计与变革、公司法与企业法、法</w:t>
            </w:r>
            <w:r>
              <w:rPr>
                <w:rFonts w:ascii="宋体" w:hAnsi="宋体" w:eastAsia="宋体" w:cs="宋体"/>
                <w:sz w:val="23"/>
                <w:szCs w:val="23"/>
              </w:rPr>
              <w:t xml:space="preserve"> </w:t>
            </w:r>
            <w:r>
              <w:rPr>
                <w:rFonts w:ascii="宋体" w:hAnsi="宋体" w:eastAsia="宋体" w:cs="宋体"/>
                <w:spacing w:val="6"/>
                <w:sz w:val="23"/>
                <w:szCs w:val="23"/>
              </w:rPr>
              <w:t>商管理</w:t>
            </w:r>
            <w:r>
              <w:rPr>
                <w:rFonts w:ascii="宋体" w:hAnsi="宋体" w:eastAsia="宋体" w:cs="宋体"/>
                <w:spacing w:val="3"/>
                <w:sz w:val="23"/>
                <w:szCs w:val="23"/>
              </w:rPr>
              <w:t>案例分析、公司法人治理、企业家法：创业、守成与传承、合同法、</w:t>
            </w:r>
            <w:r>
              <w:rPr>
                <w:rFonts w:ascii="宋体" w:hAnsi="宋体" w:eastAsia="宋体" w:cs="宋体"/>
                <w:sz w:val="23"/>
                <w:szCs w:val="23"/>
              </w:rPr>
              <w:t xml:space="preserve"> </w:t>
            </w:r>
            <w:r>
              <w:rPr>
                <w:rFonts w:ascii="宋体" w:hAnsi="宋体" w:eastAsia="宋体" w:cs="宋体"/>
                <w:spacing w:val="14"/>
                <w:sz w:val="23"/>
                <w:szCs w:val="23"/>
              </w:rPr>
              <w:t>管理</w:t>
            </w:r>
            <w:r>
              <w:rPr>
                <w:rFonts w:ascii="宋体" w:hAnsi="宋体" w:eastAsia="宋体" w:cs="宋体"/>
                <w:spacing w:val="12"/>
                <w:sz w:val="23"/>
                <w:szCs w:val="23"/>
              </w:rPr>
              <w:t>研</w:t>
            </w:r>
            <w:r>
              <w:rPr>
                <w:rFonts w:ascii="宋体" w:hAnsi="宋体" w:eastAsia="宋体" w:cs="宋体"/>
                <w:spacing w:val="7"/>
                <w:sz w:val="23"/>
                <w:szCs w:val="23"/>
              </w:rPr>
              <w:t>究方法 (论文指导课) 、竞争法、证券法、知识产权法、经济法学</w:t>
            </w:r>
          </w:p>
        </w:tc>
      </w:tr>
    </w:tbl>
    <w:p w14:paraId="54E2436C">
      <w:pPr>
        <w:spacing w:line="360" w:lineRule="auto"/>
        <w:jc w:val="center"/>
        <w:rPr>
          <w:rFonts w:hint="eastAsia" w:asciiTheme="minorEastAsia" w:hAnsiTheme="minorEastAsia" w:eastAsiaTheme="minorEastAsia" w:cstheme="minorEastAsia"/>
          <w:i w:val="0"/>
          <w:iCs w:val="0"/>
          <w:caps w:val="0"/>
          <w:color w:val="auto"/>
          <w:spacing w:val="0"/>
          <w:sz w:val="21"/>
          <w:szCs w:val="21"/>
          <w:lang w:eastAsia="zh-CN"/>
        </w:rPr>
      </w:pPr>
      <w:r>
        <w:rPr>
          <w:rFonts w:hint="eastAsia" w:asciiTheme="minorEastAsia" w:hAnsiTheme="minorEastAsia" w:eastAsiaTheme="minorEastAsia" w:cstheme="minorEastAsia"/>
          <w:i w:val="0"/>
          <w:iCs w:val="0"/>
          <w:caps w:val="0"/>
          <w:color w:val="auto"/>
          <w:spacing w:val="0"/>
          <w:sz w:val="21"/>
          <w:szCs w:val="21"/>
          <w:lang w:eastAsia="zh-CN"/>
        </w:rPr>
        <w:t>注：具体参照实际教学</w:t>
      </w:r>
    </w:p>
    <w:p w14:paraId="23A9C381">
      <w:pPr>
        <w:spacing w:line="360" w:lineRule="auto"/>
        <w:rPr>
          <w:rFonts w:hint="eastAsia" w:asciiTheme="minorEastAsia" w:hAnsiTheme="minorEastAsia" w:eastAsiaTheme="minorEastAsia" w:cstheme="minorEastAsia"/>
          <w:i w:val="0"/>
          <w:iCs w:val="0"/>
          <w:caps w:val="0"/>
          <w:color w:val="auto"/>
          <w:spacing w:val="0"/>
          <w:sz w:val="21"/>
          <w:szCs w:val="21"/>
          <w:lang w:eastAsia="zh-CN"/>
        </w:rPr>
      </w:pPr>
    </w:p>
    <w:p w14:paraId="3424CE46">
      <w:pPr>
        <w:spacing w:line="360" w:lineRule="auto"/>
        <w:jc w:val="both"/>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三、学制及教学方式</w:t>
      </w:r>
    </w:p>
    <w:p w14:paraId="4306E713">
      <w:pPr>
        <w:numPr>
          <w:ilvl w:val="0"/>
          <w:numId w:val="2"/>
        </w:numPr>
        <w:spacing w:line="360" w:lineRule="auto"/>
        <w:jc w:val="both"/>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学制：2年</w:t>
      </w:r>
    </w:p>
    <w:p w14:paraId="38220CBE">
      <w:pPr>
        <w:numPr>
          <w:ilvl w:val="0"/>
          <w:numId w:val="2"/>
        </w:numPr>
        <w:spacing w:line="360" w:lineRule="auto"/>
        <w:jc w:val="both"/>
        <w:rPr>
          <w:rFonts w:hint="eastAsia" w:asciiTheme="minorEastAsia" w:hAnsiTheme="minorEastAsia" w:eastAsiaTheme="minorEastAsia" w:cstheme="minorEastAsia"/>
          <w:i w:val="0"/>
          <w:iCs w:val="0"/>
          <w:caps w:val="0"/>
          <w:color w:val="auto"/>
          <w:spacing w:val="0"/>
          <w:sz w:val="21"/>
          <w:szCs w:val="21"/>
          <w:lang w:val="en-US" w:eastAsia="zh-CN"/>
        </w:rPr>
      </w:pPr>
      <w:r>
        <w:rPr>
          <w:rFonts w:hint="eastAsia" w:asciiTheme="minorEastAsia" w:hAnsiTheme="minorEastAsia" w:eastAsiaTheme="minorEastAsia" w:cstheme="minorEastAsia"/>
          <w:i w:val="0"/>
          <w:iCs w:val="0"/>
          <w:caps w:val="0"/>
          <w:color w:val="auto"/>
          <w:spacing w:val="0"/>
          <w:sz w:val="21"/>
          <w:szCs w:val="21"/>
          <w:lang w:val="en-US" w:eastAsia="zh-CN"/>
        </w:rPr>
        <w:t>采取网络授课和面授相结合的教学方式。</w:t>
      </w:r>
    </w:p>
    <w:p w14:paraId="235314D0">
      <w:pPr>
        <w:numPr>
          <w:ilvl w:val="0"/>
          <w:numId w:val="0"/>
        </w:numPr>
        <w:spacing w:line="360" w:lineRule="auto"/>
        <w:ind w:leftChars="0" w:right="0" w:rightChars="0"/>
        <w:jc w:val="both"/>
        <w:rPr>
          <w:rFonts w:hint="eastAsia" w:asciiTheme="minorEastAsia" w:hAnsiTheme="minorEastAsia" w:eastAsiaTheme="minorEastAsia" w:cstheme="minorEastAsia"/>
          <w:i w:val="0"/>
          <w:iCs w:val="0"/>
          <w:caps w:val="0"/>
          <w:color w:val="auto"/>
          <w:spacing w:val="0"/>
          <w:sz w:val="21"/>
          <w:szCs w:val="21"/>
          <w:lang w:val="en-US" w:eastAsia="zh-CN"/>
        </w:rPr>
      </w:pPr>
    </w:p>
    <w:p w14:paraId="3C580D75">
      <w:pPr>
        <w:shd w:val="clear" w:color="auto" w:fill="auto"/>
        <w:spacing w:line="360" w:lineRule="auto"/>
        <w:jc w:val="both"/>
        <w:rPr>
          <w:rFonts w:hint="eastAsia" w:asciiTheme="minorEastAsia" w:hAnsiTheme="minorEastAsia" w:eastAsiaTheme="minorEastAsia" w:cstheme="minorEastAsia"/>
          <w:b/>
          <w:bCs/>
          <w:i w:val="0"/>
          <w:iCs w:val="0"/>
          <w:caps w:val="0"/>
          <w:color w:val="auto"/>
          <w:spacing w:val="0"/>
          <w:sz w:val="21"/>
          <w:szCs w:val="21"/>
          <w:lang w:eastAsia="zh-CN"/>
        </w:rPr>
      </w:pPr>
      <w:r>
        <w:rPr>
          <w:rFonts w:hint="eastAsia" w:asciiTheme="minorEastAsia" w:hAnsiTheme="minorEastAsia" w:eastAsiaTheme="minorEastAsia" w:cstheme="minorEastAsia"/>
          <w:b/>
          <w:bCs/>
          <w:i w:val="0"/>
          <w:iCs w:val="0"/>
          <w:caps w:val="0"/>
          <w:color w:val="auto"/>
          <w:spacing w:val="0"/>
          <w:sz w:val="21"/>
          <w:szCs w:val="21"/>
          <w:lang w:eastAsia="zh-CN"/>
        </w:rPr>
        <w:t>四、报名条件及报名材料</w:t>
      </w:r>
    </w:p>
    <w:p w14:paraId="11C90029">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1" w:name="bookmark15"/>
      <w:r>
        <w:rPr>
          <w:rFonts w:hint="eastAsia" w:asciiTheme="minorEastAsia" w:hAnsiTheme="minorEastAsia" w:eastAsiaTheme="minorEastAsia" w:cstheme="minorEastAsia"/>
          <w:i w:val="0"/>
          <w:iCs w:val="0"/>
          <w:caps w:val="0"/>
          <w:color w:val="auto"/>
          <w:spacing w:val="0"/>
          <w:sz w:val="21"/>
          <w:szCs w:val="21"/>
          <w:lang w:eastAsia="zh-CN"/>
        </w:rPr>
        <w:t>1</w:t>
      </w:r>
      <w:bookmarkEnd w:id="1"/>
      <w:r>
        <w:rPr>
          <w:rFonts w:hint="eastAsia" w:asciiTheme="minorEastAsia" w:hAnsiTheme="minorEastAsia" w:eastAsiaTheme="minorEastAsia" w:cstheme="minorEastAsia"/>
          <w:i w:val="0"/>
          <w:iCs w:val="0"/>
          <w:caps w:val="0"/>
          <w:color w:val="auto"/>
          <w:spacing w:val="0"/>
          <w:sz w:val="21"/>
          <w:szCs w:val="21"/>
          <w:lang w:eastAsia="zh-CN"/>
        </w:rPr>
        <w:t>、拥护《中华人民共和国宪法》，遵纪守法，品行端正，身体健康。</w:t>
      </w:r>
    </w:p>
    <w:p w14:paraId="5C834A4A">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2" w:name="bookmark16"/>
      <w:r>
        <w:rPr>
          <w:rFonts w:hint="eastAsia" w:asciiTheme="minorEastAsia" w:hAnsiTheme="minorEastAsia" w:eastAsiaTheme="minorEastAsia" w:cstheme="minorEastAsia"/>
          <w:i w:val="0"/>
          <w:iCs w:val="0"/>
          <w:caps w:val="0"/>
          <w:color w:val="auto"/>
          <w:spacing w:val="0"/>
          <w:sz w:val="21"/>
          <w:szCs w:val="21"/>
          <w:lang w:eastAsia="zh-CN"/>
        </w:rPr>
        <w:t>2</w:t>
      </w:r>
      <w:bookmarkEnd w:id="2"/>
      <w:r>
        <w:rPr>
          <w:rFonts w:hint="eastAsia" w:asciiTheme="minorEastAsia" w:hAnsiTheme="minorEastAsia" w:eastAsiaTheme="minorEastAsia" w:cstheme="minorEastAsia"/>
          <w:i w:val="0"/>
          <w:iCs w:val="0"/>
          <w:caps w:val="0"/>
          <w:color w:val="auto"/>
          <w:spacing w:val="0"/>
          <w:sz w:val="21"/>
          <w:szCs w:val="21"/>
          <w:lang w:eastAsia="zh-CN"/>
        </w:rPr>
        <w:t>、具有大专以上学历者，欲申请硕士学位者需具有本科学士学位。</w:t>
      </w:r>
    </w:p>
    <w:p w14:paraId="7B5B7121">
      <w:pPr>
        <w:shd w:val="clear" w:color="auto" w:fill="auto"/>
        <w:spacing w:line="360" w:lineRule="auto"/>
        <w:jc w:val="both"/>
        <w:rPr>
          <w:rFonts w:hint="eastAsia" w:asciiTheme="minorEastAsia" w:hAnsiTheme="minorEastAsia" w:eastAsiaTheme="minorEastAsia" w:cstheme="minorEastAsia"/>
          <w:i w:val="0"/>
          <w:iCs w:val="0"/>
          <w:caps w:val="0"/>
          <w:color w:val="auto"/>
          <w:spacing w:val="0"/>
          <w:sz w:val="21"/>
          <w:szCs w:val="21"/>
          <w:lang w:eastAsia="zh-CN"/>
        </w:rPr>
      </w:pPr>
      <w:bookmarkStart w:id="3" w:name="bookmark17"/>
      <w:r>
        <w:rPr>
          <w:rFonts w:hint="eastAsia" w:asciiTheme="minorEastAsia" w:hAnsiTheme="minorEastAsia" w:eastAsiaTheme="minorEastAsia" w:cstheme="minorEastAsia"/>
          <w:i w:val="0"/>
          <w:iCs w:val="0"/>
          <w:caps w:val="0"/>
          <w:color w:val="auto"/>
          <w:spacing w:val="0"/>
          <w:sz w:val="21"/>
          <w:szCs w:val="21"/>
          <w:lang w:eastAsia="zh-CN"/>
        </w:rPr>
        <w:t>3</w:t>
      </w:r>
      <w:bookmarkEnd w:id="3"/>
      <w:r>
        <w:rPr>
          <w:rFonts w:hint="eastAsia" w:asciiTheme="minorEastAsia" w:hAnsiTheme="minorEastAsia" w:eastAsiaTheme="minorEastAsia" w:cstheme="minorEastAsia"/>
          <w:i w:val="0"/>
          <w:iCs w:val="0"/>
          <w:caps w:val="0"/>
          <w:color w:val="auto"/>
          <w:spacing w:val="0"/>
          <w:sz w:val="21"/>
          <w:szCs w:val="21"/>
          <w:lang w:eastAsia="zh-CN"/>
        </w:rPr>
        <w:t>、报名材料：报名表、身份证、最高学历和学位证复印件各1份，1寸和2寸近期免冠蓝底照片各2 张。</w:t>
      </w:r>
    </w:p>
    <w:p w14:paraId="5FDC0E75">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lang w:eastAsia="zh-CN"/>
        </w:rPr>
      </w:pPr>
    </w:p>
    <w:p w14:paraId="3F37864E">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eastAsia="zh-CN"/>
        </w:rPr>
        <w:t>五、</w:t>
      </w:r>
      <w:r>
        <w:rPr>
          <w:rFonts w:hint="eastAsia" w:asciiTheme="minorEastAsia" w:hAnsiTheme="minorEastAsia" w:eastAsiaTheme="minorEastAsia" w:cstheme="minorEastAsia"/>
          <w:b/>
          <w:bCs/>
          <w:sz w:val="21"/>
          <w:szCs w:val="21"/>
        </w:rPr>
        <w:t>考试（考核）与结业</w:t>
      </w:r>
    </w:p>
    <w:p w14:paraId="6C71F5D4">
      <w:pPr>
        <w:pStyle w:val="9"/>
        <w:keepNext w:val="0"/>
        <w:keepLines w:val="0"/>
        <w:widowControl w:val="0"/>
        <w:shd w:val="clear" w:color="auto" w:fill="auto"/>
        <w:tabs>
          <w:tab w:val="left" w:pos="505"/>
        </w:tabs>
        <w:bidi w:val="0"/>
        <w:spacing w:before="0" w:after="80" w:line="360" w:lineRule="auto"/>
        <w:ind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学员完成教学计划规定课程者，经学院考试（考核）合格后，颁发</w:t>
      </w:r>
      <w:r>
        <w:rPr>
          <w:rFonts w:hint="eastAsia" w:asciiTheme="minorEastAsia" w:hAnsiTheme="minorEastAsia" w:eastAsiaTheme="minorEastAsia" w:cstheme="minorEastAsia"/>
          <w:sz w:val="21"/>
          <w:szCs w:val="21"/>
          <w:lang w:val="zh-CN" w:eastAsia="zh-CN"/>
        </w:rPr>
        <w:t>“中</w:t>
      </w:r>
      <w:r>
        <w:rPr>
          <w:rFonts w:hint="eastAsia" w:asciiTheme="minorEastAsia" w:hAnsiTheme="minorEastAsia" w:eastAsiaTheme="minorEastAsia" w:cstheme="minorEastAsia"/>
          <w:sz w:val="21"/>
          <w:szCs w:val="21"/>
        </w:rPr>
        <w:t>国政法大学同等学力研修班证书”（证书加盖学校钢印、校印、校长印</w:t>
      </w:r>
      <w:r>
        <w:rPr>
          <w:rFonts w:hint="eastAsia" w:asciiTheme="minorEastAsia" w:hAnsiTheme="minorEastAsia" w:eastAsiaTheme="minorEastAsia" w:cstheme="minorEastAsia"/>
          <w:sz w:val="21"/>
          <w:szCs w:val="21"/>
          <w:lang w:eastAsia="zh-CN"/>
        </w:rPr>
        <w:t>，出具中国政法大学教务部门盖章的写实性学习成绩证明</w:t>
      </w:r>
      <w:r>
        <w:rPr>
          <w:rFonts w:hint="eastAsia" w:asciiTheme="minorEastAsia" w:hAnsiTheme="minorEastAsia" w:eastAsiaTheme="minorEastAsia" w:cstheme="minorEastAsia"/>
          <w:sz w:val="21"/>
          <w:szCs w:val="21"/>
        </w:rPr>
        <w:t>）。</w:t>
      </w:r>
    </w:p>
    <w:p w14:paraId="6B172920">
      <w:pPr>
        <w:pStyle w:val="9"/>
        <w:keepNext w:val="0"/>
        <w:keepLines w:val="0"/>
        <w:widowControl w:val="0"/>
        <w:shd w:val="clear" w:color="auto" w:fill="auto"/>
        <w:tabs>
          <w:tab w:val="left" w:pos="505"/>
        </w:tabs>
        <w:bidi w:val="0"/>
        <w:spacing w:before="0" w:after="80" w:line="360" w:lineRule="auto"/>
        <w:ind w:right="0"/>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符合硕士学位申请条件的，可以按国务院学位办(1998)54 号文件和中国政法大学学位办的有关规定申请硕士学位。</w:t>
      </w:r>
    </w:p>
    <w:p w14:paraId="25FD7C5F">
      <w:pPr>
        <w:pStyle w:val="9"/>
        <w:keepNext w:val="0"/>
        <w:keepLines w:val="0"/>
        <w:widowControl w:val="0"/>
        <w:shd w:val="clear" w:color="auto" w:fill="auto"/>
        <w:tabs>
          <w:tab w:val="left" w:pos="505"/>
        </w:tabs>
        <w:bidi w:val="0"/>
        <w:spacing w:before="0" w:line="360" w:lineRule="auto"/>
        <w:ind w:left="0" w:right="0" w:firstLine="0"/>
        <w:jc w:val="both"/>
        <w:rPr>
          <w:rFonts w:hint="eastAsia" w:asciiTheme="minorEastAsia" w:hAnsiTheme="minorEastAsia" w:eastAsiaTheme="minorEastAsia" w:cstheme="minorEastAsia"/>
          <w:color w:val="000000"/>
          <w:spacing w:val="0"/>
          <w:w w:val="100"/>
          <w:position w:val="0"/>
          <w:sz w:val="21"/>
          <w:szCs w:val="21"/>
          <w:lang w:eastAsia="zh-CN"/>
        </w:rPr>
      </w:pPr>
    </w:p>
    <w:p w14:paraId="52F7C3EC">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六、申硕条件</w:t>
      </w:r>
    </w:p>
    <w:p w14:paraId="1D9E42A8">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1、申请人必须是已获学士学位并工作三年及以上，或已获硕士、博士学位。</w:t>
      </w:r>
    </w:p>
    <w:p w14:paraId="7E671B1E">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2、在申请学位的专业或相近专业发表有关的不少于3000字的科研成果（或可在论文答辩审核之前提供）。</w:t>
      </w:r>
    </w:p>
    <w:p w14:paraId="24B2A389">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3、在规定时间内通过中国政法大学组织的同等学力人员申请硕士学位的学位课程考试。</w:t>
      </w:r>
    </w:p>
    <w:p w14:paraId="55C2A1EC">
      <w:pPr>
        <w:pStyle w:val="9"/>
        <w:keepNext w:val="0"/>
        <w:keepLines w:val="0"/>
        <w:widowControl w:val="0"/>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4、在规定时间内通过全国统一的同等学力人员申请硕士学位的外语考试和学科综合考试。</w:t>
      </w:r>
    </w:p>
    <w:p w14:paraId="5E2B92F6">
      <w:pPr>
        <w:pStyle w:val="9"/>
        <w:keepNext w:val="0"/>
        <w:keepLines w:val="0"/>
        <w:widowControl w:val="0"/>
        <w:numPr>
          <w:ilvl w:val="0"/>
          <w:numId w:val="3"/>
        </w:numPr>
        <w:shd w:val="clear" w:color="auto" w:fill="auto"/>
        <w:tabs>
          <w:tab w:val="left" w:pos="408"/>
        </w:tabs>
        <w:bidi w:val="0"/>
        <w:spacing w:before="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资格审查合格后，申请人必须在五年内（资审通过之日起算）通过上述学位课考试（校考）与全国统一考试（国考）。</w:t>
      </w:r>
    </w:p>
    <w:p w14:paraId="730CEC5A">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sz w:val="21"/>
          <w:szCs w:val="21"/>
          <w:lang w:eastAsia="zh-CN"/>
        </w:rPr>
      </w:pPr>
    </w:p>
    <w:p w14:paraId="095E5A6F">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bCs/>
          <w:color w:val="000000"/>
          <w:spacing w:val="0"/>
          <w:w w:val="100"/>
          <w:position w:val="0"/>
          <w:sz w:val="21"/>
          <w:szCs w:val="21"/>
          <w:lang w:eastAsia="zh-CN"/>
        </w:rPr>
      </w:pPr>
      <w:r>
        <w:rPr>
          <w:rFonts w:hint="eastAsia" w:asciiTheme="minorEastAsia" w:hAnsiTheme="minorEastAsia" w:eastAsiaTheme="minorEastAsia" w:cstheme="minorEastAsia"/>
          <w:b/>
          <w:bCs/>
          <w:color w:val="000000"/>
          <w:spacing w:val="0"/>
          <w:w w:val="100"/>
          <w:position w:val="0"/>
          <w:sz w:val="21"/>
          <w:szCs w:val="21"/>
          <w:lang w:eastAsia="zh-CN"/>
        </w:rPr>
        <w:t>七、收费标准</w:t>
      </w:r>
    </w:p>
    <w:p w14:paraId="0ACF1129">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1、研修班学费36800元/两年；</w:t>
      </w:r>
    </w:p>
    <w:p w14:paraId="1A6362DB">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2、申请硕士学位的费用：14000元，包含资格审查费、学位课考试费、指导费、答辩费（具体数额以学员申请 硕士学位时中国政法大学的具体收费标准为准）；</w:t>
      </w:r>
    </w:p>
    <w:p w14:paraId="63493757">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3、同等学力人员申请硕士学位全国统一考试所发生的费用由学生自行负担。</w:t>
      </w:r>
    </w:p>
    <w:p w14:paraId="61EA5EB1">
      <w:pPr>
        <w:pStyle w:val="9"/>
        <w:keepNext w:val="0"/>
        <w:keepLines w:val="0"/>
        <w:widowControl w:val="0"/>
        <w:numPr>
          <w:ilvl w:val="0"/>
          <w:numId w:val="0"/>
        </w:numPr>
        <w:shd w:val="clear" w:color="auto" w:fill="auto"/>
        <w:tabs>
          <w:tab w:val="left" w:pos="408"/>
        </w:tabs>
        <w:bidi w:val="0"/>
        <w:spacing w:before="0" w:line="360" w:lineRule="auto"/>
        <w:ind w:leftChars="0" w:right="0" w:rightChars="0"/>
        <w:jc w:val="both"/>
        <w:rPr>
          <w:rFonts w:hint="eastAsia" w:asciiTheme="minorEastAsia" w:hAnsiTheme="minorEastAsia" w:eastAsiaTheme="minorEastAsia" w:cstheme="minorEastAsia"/>
          <w:b w:val="0"/>
          <w:bCs w:val="0"/>
          <w:color w:val="000000"/>
          <w:spacing w:val="0"/>
          <w:w w:val="100"/>
          <w:position w:val="0"/>
          <w:sz w:val="21"/>
          <w:szCs w:val="21"/>
          <w:lang w:eastAsia="zh-CN"/>
        </w:rPr>
      </w:pPr>
      <w:r>
        <w:rPr>
          <w:rFonts w:hint="eastAsia" w:asciiTheme="minorEastAsia" w:hAnsiTheme="minorEastAsia" w:eastAsiaTheme="minorEastAsia" w:cstheme="minorEastAsia"/>
          <w:b w:val="0"/>
          <w:bCs w:val="0"/>
          <w:color w:val="000000"/>
          <w:spacing w:val="0"/>
          <w:w w:val="100"/>
          <w:position w:val="0"/>
          <w:sz w:val="21"/>
          <w:szCs w:val="21"/>
          <w:lang w:eastAsia="zh-CN"/>
        </w:rPr>
        <w:t>4、交费方式 ：学校平台统一支付。</w:t>
      </w:r>
    </w:p>
    <w:p w14:paraId="4BA33874">
      <w:pPr>
        <w:pStyle w:val="9"/>
        <w:keepNext w:val="0"/>
        <w:keepLines w:val="0"/>
        <w:widowControl w:val="0"/>
        <w:shd w:val="clear" w:color="auto" w:fill="auto"/>
        <w:tabs>
          <w:tab w:val="left" w:pos="505"/>
        </w:tabs>
        <w:bidi w:val="0"/>
        <w:spacing w:before="0" w:after="80" w:line="360" w:lineRule="auto"/>
        <w:ind w:left="0" w:right="0" w:firstLine="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研修班正式开课后，学员因故不能坚持进修，视为自动放弃学习，不予退费。</w:t>
      </w:r>
    </w:p>
    <w:p w14:paraId="02EE09D7">
      <w:pPr>
        <w:pStyle w:val="9"/>
        <w:keepNext w:val="0"/>
        <w:keepLines w:val="0"/>
        <w:widowControl w:val="0"/>
        <w:numPr>
          <w:ilvl w:val="0"/>
          <w:numId w:val="0"/>
        </w:numPr>
        <w:shd w:val="clear" w:color="auto" w:fill="auto"/>
        <w:bidi w:val="0"/>
        <w:spacing w:before="0" w:after="180" w:line="360" w:lineRule="auto"/>
        <w:ind w:leftChars="0" w:right="0" w:rightChars="0"/>
        <w:jc w:val="both"/>
        <w:rPr>
          <w:rFonts w:hint="default" w:asciiTheme="minorEastAsia" w:hAnsiTheme="minorEastAsia" w:eastAsiaTheme="minorEastAsia" w:cstheme="minorEastAsia"/>
          <w:sz w:val="21"/>
          <w:szCs w:val="21"/>
          <w:lang w:val="en-US" w:eastAsia="zh-CN"/>
        </w:rPr>
      </w:pPr>
      <w:bookmarkStart w:id="4" w:name="_GoBack"/>
      <w:bookmarkEnd w:id="4"/>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5B5B2">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293995"/>
          <wp:effectExtent l="0" t="0" r="2540" b="1905"/>
          <wp:wrapNone/>
          <wp:docPr id="2" name="WordPictureWatermark27156" descr="法大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156" descr="法大水印"/>
                  <pic:cNvPicPr>
                    <a:picLocks noChangeAspect="1"/>
                  </pic:cNvPicPr>
                </pic:nvPicPr>
                <pic:blipFill>
                  <a:blip r:embed="rId1">
                    <a:lum bright="69998" contrast="-70001"/>
                  </a:blip>
                  <a:stretch>
                    <a:fillRect/>
                  </a:stretch>
                </pic:blipFill>
                <pic:spPr>
                  <a:xfrm>
                    <a:off x="0" y="0"/>
                    <a:ext cx="5274310" cy="5293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69EE5"/>
    <w:multiLevelType w:val="singleLevel"/>
    <w:tmpl w:val="A4269EE5"/>
    <w:lvl w:ilvl="0" w:tentative="0">
      <w:start w:val="5"/>
      <w:numFmt w:val="decimal"/>
      <w:suff w:val="nothing"/>
      <w:lvlText w:val="%1、"/>
      <w:lvlJc w:val="left"/>
    </w:lvl>
  </w:abstractNum>
  <w:abstractNum w:abstractNumId="1">
    <w:nsid w:val="5084E203"/>
    <w:multiLevelType w:val="singleLevel"/>
    <w:tmpl w:val="5084E203"/>
    <w:lvl w:ilvl="0" w:tentative="0">
      <w:start w:val="2"/>
      <w:numFmt w:val="chineseCounting"/>
      <w:suff w:val="nothing"/>
      <w:lvlText w:val="%1、"/>
      <w:lvlJc w:val="left"/>
      <w:rPr>
        <w:rFonts w:hint="eastAsia"/>
      </w:rPr>
    </w:lvl>
  </w:abstractNum>
  <w:abstractNum w:abstractNumId="2">
    <w:nsid w:val="665A32E8"/>
    <w:multiLevelType w:val="singleLevel"/>
    <w:tmpl w:val="665A32E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4OGM2N2E2YzA2ZDc1ODMyNDk3MDM3OTQ1ZmEwZjAifQ=="/>
  </w:docVars>
  <w:rsids>
    <w:rsidRoot w:val="2A9D1E72"/>
    <w:rsid w:val="0AF3144C"/>
    <w:rsid w:val="14BE7D61"/>
    <w:rsid w:val="1B693ACB"/>
    <w:rsid w:val="23FE346F"/>
    <w:rsid w:val="27F531EF"/>
    <w:rsid w:val="29657728"/>
    <w:rsid w:val="2A9D1E72"/>
    <w:rsid w:val="336B4A5C"/>
    <w:rsid w:val="33F0253C"/>
    <w:rsid w:val="3E771004"/>
    <w:rsid w:val="46771E1E"/>
    <w:rsid w:val="48F05114"/>
    <w:rsid w:val="53261526"/>
    <w:rsid w:val="594544D6"/>
    <w:rsid w:val="6CFB7034"/>
    <w:rsid w:val="71483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Heading #2|1"/>
    <w:basedOn w:val="1"/>
    <w:qFormat/>
    <w:uiPriority w:val="0"/>
    <w:pPr>
      <w:widowControl w:val="0"/>
      <w:shd w:val="clear" w:color="auto" w:fill="auto"/>
      <w:spacing w:after="340"/>
      <w:jc w:val="center"/>
      <w:outlineLvl w:val="1"/>
    </w:pPr>
    <w:rPr>
      <w:sz w:val="30"/>
      <w:szCs w:val="30"/>
      <w:u w:val="none"/>
      <w:shd w:val="clear" w:color="auto" w:fill="auto"/>
    </w:rPr>
  </w:style>
  <w:style w:type="paragraph" w:customStyle="1" w:styleId="9">
    <w:name w:val="Body text|1"/>
    <w:basedOn w:val="1"/>
    <w:qFormat/>
    <w:uiPriority w:val="0"/>
    <w:pPr>
      <w:widowControl w:val="0"/>
      <w:shd w:val="clear" w:color="auto" w:fill="auto"/>
      <w:spacing w:after="40" w:line="295" w:lineRule="auto"/>
    </w:pPr>
    <w:rPr>
      <w:rFonts w:ascii="宋体" w:hAnsi="宋体" w:eastAsia="宋体" w:cs="宋体"/>
      <w:sz w:val="22"/>
      <w:szCs w:val="22"/>
      <w:u w:val="none"/>
      <w:shd w:val="clear" w:color="auto" w:fill="auto"/>
      <w:lang w:val="zh-TW" w:eastAsia="zh-TW" w:bidi="zh-TW"/>
    </w:rPr>
  </w:style>
  <w:style w:type="paragraph" w:customStyle="1" w:styleId="10">
    <w:name w:val="Header or footer|2"/>
    <w:basedOn w:val="1"/>
    <w:qFormat/>
    <w:uiPriority w:val="0"/>
    <w:pPr>
      <w:widowControl w:val="0"/>
      <w:shd w:val="clear" w:color="auto" w:fill="auto"/>
    </w:pPr>
    <w:rPr>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1161</Words>
  <Characters>1179</Characters>
  <Lines>0</Lines>
  <Paragraphs>0</Paragraphs>
  <TotalTime>0</TotalTime>
  <ScaleCrop>false</ScaleCrop>
  <LinksUpToDate>false</LinksUpToDate>
  <CharactersWithSpaces>1181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2023-02-06T02:33:00Z</dcterms:created>
  <dc:creator>Administrator</dc:creator>
  <cp:lastModifiedBy>Administrator</cp:lastModifiedBy>
  <dcterms:modified xsi:type="dcterms:W3CDTF">2026-01-14T03:41:20Z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7B28390AC7C648D9BC3304F5F81585EE</vt:lpwstr>
  </property>
  <property fmtid="{D5CDD505-2E9C-101B-9397-08002B2CF9AE}" pid="4" name="KSOTemplateDocerSaveRecord">
    <vt:lpwstr>eyJoZGlkIjoiMjJkYmYyOGQwNjU2YTFjYjBlYWQzZDdlZjc2Nzk1ZWYifQ==</vt:lpwstr>
  </property>
</Properties>
</file>